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2</w:t>
      </w:r>
      <w:r/>
    </w:p>
    <w:p>
      <w:pPr>
        <w:pStyle w:val="9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Сравнительная таблица по изменениям</w:t>
      </w:r>
      <w:r>
        <w:rPr>
          <w:rFonts w:ascii="Times New Roman" w:hAnsi="Times New Roman" w:cs="Times New Roman"/>
          <w:b/>
          <w:sz w:val="28"/>
          <w:szCs w:val="28"/>
        </w:rPr>
        <w:t xml:space="preserve">, внесенных Законом № 275-ФЗ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07"/>
        <w:jc w:val="center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Изменения, вступающие в силу с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07.202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</w:r>
    </w:p>
    <w:p>
      <w:pPr>
        <w:pStyle w:val="907"/>
        <w:jc w:val="center"/>
        <w:spacing w:line="240" w:lineRule="auto"/>
        <w:rPr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i/>
        </w:rPr>
      </w:r>
      <w:r>
        <w:rPr>
          <w:i/>
        </w:rPr>
      </w:r>
    </w:p>
    <w:tbl>
      <w:tblPr>
        <w:tblW w:w="1524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66"/>
        <w:gridCol w:w="8082"/>
      </w:tblGrid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«Стар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дакция Налогового кодекса Российской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Федерации (далее – НК РФ)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«Новая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дакция НК РФ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</w:p>
        </w:tc>
      </w:tr>
      <w:tr>
        <w:tblPrEx>
          <w:tblBorders>
            <w:bottom w:val="single" w:color="auto" w:sz="8" w:space="0"/>
          </w:tblBorders>
        </w:tblPrEx>
        <w:trPr>
          <w:trHeight w:val="552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333.33. Размеры государственной пошлины за государственную регистрацию, а также за совершение прочих юридически значимых действий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333.33. Размеры государственной пошлины за государственную регистрацию, а также за совершение прочих юридически значимых действий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22) за государственную регистрацию прав, ограничений прав и обременений объектов недвижимости, сделок с объектом недвижимости, если такие сделки подлежат государственной регистрации в соответствии с федеральным законом, за исключением юридически значимых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ействий,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подпунктами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пункта: 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недвижимости, кадастровая стоимость которого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не определена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не превышает 20 000 000 рублей, - 4000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недвижимости, кадастровая стоимость которого превышает 20 000 000 рублей, - 0,02 процента кадастровой стоимости, определенной в отношении этого объекта недвижимости на дату обращения за совершением юридически значимого действия, но не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енее 0,02 процента цены сделки, являющейся основанием перехода права собственности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соответствующий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недвижимости, и не более 500 000 рублей;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организаций, за исключением организаций, указанных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абзаце восьмом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подпункта: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недвижимости, кадастровая стоимость которого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не определена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не превышает 22 000 000 рублей, - 44 000 рублей;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недвижимости, кадастровая стоимость которого превышает 22 000 000 рублей, - 0,2 процента кадастровой стоимости, определенной в отношении этого объекта недвижимости на дату обращения за совершением юридически значимого действия, но не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нее 0,2 процента цены сделки, являющейся основанием перехода права собственности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соответствующий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недвижимости, и не более 1 000 000 рублей;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Абзацы 3,4,6, 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пп. 22 п. 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изложены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22) за государственную регистрацию прав, ограничений прав и обременений объектов недвижимости, сделок с объектом недвижимости, если такие сделки подлежат государственной регистрации в соответствии с федеральным законом, за исключением юридически значимых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ействий,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подпунктами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оящего пункта: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недвижимости или доли в праве общей долевой собственности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объект недвижимости, если кадастровая стоимость объекта недвижимости не определена, объекта недвижимости или доли в праве общей долевой собственности на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адастровая стоимость которого или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ее часть, соответствующая размеру доли в праве общей долевой собственности на объект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не превышает 20 000 000 рублей, - 4000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недвижимости или доли в праве общей долевой собственности на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кадастровая стоимость которого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или ее часть, соответствующая размеру доли в праве общей долевой собственности на объект недвижимости,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превышает 20 000 000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- 0,02 процента кадастровой стоимости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объекта недвижимости или ее части, соответствующей размеру доли в праве общей долевой собственности на объект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определенной в отношении этого объекта недвижимости на дату обращения за совершением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 значимого действия, но не менее 0,02 процента цены сделки, являющейся основанием перехода права собственности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соответствующие объект недвижимости или долю в праве общей долевой собственности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недвижимости, и не более 500 000 рублей;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организаций, за исключением организаций, указанных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абзаце восьмом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подпункта: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недвижимости или доли в праве общей долевой собственности на объект недвижимости, если кадастровая стоимость объекта недвижимости не определена, объекта недвижимости или доли в праве общей долевой собственности на объект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недвижимости, к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адастровая стоимость которого или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ее часть, соответствующая размеру доли в праве общей долевой собственности на объект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не превышает 22 000 000 рублей, - 44 000 рублей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недвижимости или доли в праве общей долевой собственности на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кадастровая стоимость которого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или ее часть, соответствующая размеру доли в праве общей долевой собственности на объект недвижимости,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превышает 22 000 000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- 0,2 процента кадастровой стоимости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объекта недвижимости или ее части, соответствующей размеру доли в праве общей долевой собственности на объект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определенной в отношении этого объекта недвижимости на дату обращения за совершением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ридически значимого действия, но не менее 0,2 процента цены сделки, являющейся основанием перехода права собственности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соответствующие объект недвижимости или долю в праве общей долевой собственности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 недвижимости, и не более 1 000 000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1393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22.1) за государственную регистрацию права общей долевой собственности владельцев инвестиционных паев на недвижимое имущество, составляющее паевой инвестиционный фонд (приобретаемое для включения в состав паевого инвестиционного фонда), ограничения этого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рава и обременений данного имущества или сделок с данным имуществом: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недвижимости, кадастровая стоимость которого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не определена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не превышает 22 000 000 рублей, - 44 000 рублей;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недвижимости, кадастровая стоимость которого превышает 22 000 000 рублей, - 0,2 процента кадастровой стоимости, определенной в отношении этого объекта недвижимости на дату обращения за совершением юридически значимого действия, но не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нее 0,2 процента цены сделки, являющейся основанием перехода права собственности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соответствующий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недвижимости, и не более 1 000 000 рублей;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Абзацы 2,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пп. 22.1 п. 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изложены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22.1) за государственную регистрацию права общей долевой собственности владельцев инвестиционных паев на недвижимое имущество, составляющее паевой инвестиционный фонд (приобретаемое для включения в состав паевого инвестиционного фонда), ограничения этого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рава и обременений данного имущества или сделок с данным имуществом: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недвижимости или доли в праве общей долевой собственности на объект недвижимости, если кадастровая стоимость объекта недвижимости не определена, объекта недвижимости или доли в праве общей долевой собственности на объект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недвижимости, к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адастровая стоимость которого или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ее часть, соответствующая размеру доли в праве общей долевой собственности на объект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не превышает 22 000 000 рублей, - 44 000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недвижимости или доли в праве общей долевой собственности на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кадастровая стоимость которого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или ее часть, соответствующая размеру доли в праве общей долевой собственности на объект недвижимости,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превышает 22 000 000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- 0,2 процента кадастровой стоимости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объекта недвижимости или ее части, соответствующей размеру доли в праве общей долевой собственности на объект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определенной в отношении этого объекта недвижимости на дату обращения за совершением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ридически значимого действия, но не менее 0,2 процента цены сделки, являющейся основанием перехода права собственности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соответствующие объект недвижимости или долю в праве общей долевой собственности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 недвижимости, и не более 1 000 000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24) за государственную регистрацию права собственности физического лица на земельный участок для ведения личного подсобного хозяйства, огородничества, </w:t>
            </w:r>
            <w:r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садоводства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индивидуального гаражного или индивидуального жилищного строительства, либо на создаваемый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созданный на таком земельном участке объект недвижимого имущества - 700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24 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24) за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государственный кадастровый учет ил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государственную регистрацию права собственности физического лица на земельный участок,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предназначенный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личного подсобного хозяйства,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едения гражданами садоводства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огородничества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для собственных 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индивидуального гаражного или индивидуального жилищного строительства,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осуществления крестьянским (фермерским) хозяйством своей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либо на создаваемый или созданный на таком земельном участке объект недвижимого имущества - 700 рублей;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</w:p>
          <w:p>
            <w:pPr>
              <w:ind w:left="0" w:right="0" w:firstLine="0"/>
              <w:jc w:val="both"/>
              <w:spacing w:before="168" w:after="0" w:line="288" w:lineRule="atLeast"/>
              <w:rPr>
                <w:sz w:val="28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24.1) за осуществляемые одновременно государственный кадастровый учет и государственную регистрацию права собственности физического лица на земельный участок для ведения личного подсобного хозяйства, огородничества,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садоводства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индивидуального гаражного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индивидуального жилищного строительства либо на создаваемый или созданный на таком земельном участке объект недвижимого имущества - 1000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contextualSpacing/>
              <w:jc w:val="left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24.1 изложен в новой редакции: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24.1) за осуществляемые одновременно государственный кадастровый учет и государственную регистрацию права собственности физического лица на земельный участок,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предназначенный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ведения гражданами садоводства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одничества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для собственных нужд,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гаражного или индивидуального жилищного строительства,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осуществления крестьянским (фермерским) хозяйством своей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либо на создаваемый или созданный на таком земельном участке объект недвижимого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мущества - 1000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Статья 333.35. Льготы для отдельных категорий физических лиц и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Статья 333.35. Льготы для отдельных категорий физических лиц и организаций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1. От уплаты государственной пошлины, установленной настоящей главой, освобождаются: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sz w:val="28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</w:rPr>
              <w:t xml:space="preserve">16) физические лица, пострадавшие в результате чрезвычайной ситуации, - за выдачу документа взамен утраченного или пришедшего в негодность вследствие такой чрезвычайной ситуации,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4"/>
              </w:rPr>
              <w:t xml:space="preserve">а также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</w:rPr>
              <w:t xml:space="preserve"> за государственную регистрацию права собственности на жилые помещения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</w:rPr>
              <w:t xml:space="preserve"> или доли в них, приобретенные ими в связи с реализацией мер социальной поддержки взамен жилых помещений, утраченных ими вследствие такой чрезвычайной ситуации;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П.п. 16 п.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изложен в новой редакции: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1. От уплаты государственной пошлины, установленной настоящей главой, освобождаются: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16) физические лица, пострадавшие в результате чрезвычайной ситуации, - за выдачу документа взамен утраченного или пришедшего в негодность вследствие такой чрезвычайной ситуации, за государственную регистрацию права собственности на жилые помещения или дол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 в них, приобретенные ими в связи с реализацией мер социальной поддержки взамен жилых помещений, утраченных ими вследствие такой чрезвычайной ситуации,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за государственный кадастровый учет и (или) государственную регистрацию права собственности в отношении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жилого помещения, созданного ими в связи с реализацией мер социальной поддержки взамен жилых помещений, утраченных ими вследствие такой чрезвычайной ситуации;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</w:r>
          </w:p>
          <w:p>
            <w:pPr>
              <w:contextualSpacing/>
              <w:ind w:left="0" w:right="0" w:firstLine="567"/>
              <w:jc w:val="left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&lt;фрагмент не существовал&gt;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П. 1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дополнен пп. 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0 следующего содержания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 От уплаты государственной пошлины, установленной настоящей главой, освобождаются: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20) физические лица, определенные в подпункте 2 пункта 5 настоящей статьи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, - за государственный кадастровый учет и (или) государственную регистрацию прав на принадлежащие им или приобретаемые ими объекты недвижимости в соответствии с подпунктами 22, 22.2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- 22.4, 24 - 26, 27, 27.2 - 31 пункта 1 статьи 333.33 настоящего Кодекса.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*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Лица,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/>
                <w:sz w:val="28"/>
                <w:szCs w:val="28"/>
              </w:rPr>
              <w:t xml:space="preserve">определенные 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/>
                <w:sz w:val="28"/>
                <w:szCs w:val="28"/>
              </w:rPr>
              <w:t xml:space="preserve">подпункте 2 пункта 5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л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ица, принимающие (принимавшие) участие в специальной военной операции, а также обеспечивающие (обеспечивавшие) выполнение задач в ходе специальной военной операции на территориях Украины, Донецкой Народной Республики, Луганской Народной Республики, Запоро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 xml:space="preserve">жской области и Херсонской области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</w:rPr>
              <w:t xml:space="preserve">).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/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4.2) за государственную регистрацию ограничений прав и обременений земельных участков, используемых для северного оленеводства;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4.5) за внесение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trike/>
                <w:color w:val="000000"/>
                <w:sz w:val="28"/>
                <w:szCs w:val="28"/>
              </w:rPr>
              <w:t xml:space="preserve">изменений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 в Единый государственный реестр недвижимости записи о наличии возражения в отношении зарегистрированного права на объект недвижимости, записи о невозможности государственной регистрации права без личного участия правообладателя, записи о 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евозможности государственной регистрации перехода, прекращения,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льзованием по целевому назначению или использованием с нарушением законодательства Российской Федерации, записи о наличии прав требований в отношении зарегистрированного права, сведений об адресе электронной почты и (или) о почтовом адресе, по которым осущ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ествляется связь с лицом, чье право на объект недвижимости зарегистрировано, с лицом, в пользу которого зарегистрированы ограничение права и обременение объекта недвижимости, за внесение в случаях, установленных Федеральным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законом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 от 13 июля 2015 года N 218-ФЗ "О государственной регистрации недвижимости", сведений (изменений в сведения) в Единый государственный реестр недвижимости по заявлению заинтересованного лица, если указанные сведения не были внесены в Единый государственный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реестр недвижимости в порядке межведомственного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информационного взаимодействия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П.п 4.2 и 4.5 п. 3 изложены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4.2) за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государственный кадастровый учет и (или)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государственную регистрацию ограничений прав и обременений земельных участков, используемых для северного оленеводства;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i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4.5) за внесение в Единый государственный реестр недвижимости записи о наличии возражения в отношении зарегистрированного права на объект недвижимости, записи о невозможности государственной регистрации права без личного участия правообладателя, записи о 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евозможности государственной регистрации перехода, прекращения,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льзованием по целевому назначению или использованием с нарушением законодательства Российской Федерации, записи о наличии прав требований в отношении зарегистрированного права, сведений об адресе электронной почты и (или) о почтовом адресе, по которым осущ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ествляется связь с лицом, чье право на объект недвижимости зарегистрировано, с лицом, в пользу которого зарегистрированы ограничение права и обременение объекта недвижимости, за внесение в случаях, установленных Федеральным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законом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 от 13 июля 2015 года N 218-ФЗ "О государственной регистрации недвижимости", сведений (изменений в сведения) в Единый государственный реестр недвижимости по заявлению заинтересованного лица, если указанные сведения не были внесены в Единый государственный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реестр недвижимости в порядке межведомственного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информационного взаимодействия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8.1) за государственную регистрацию прекращения прав в связи с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trike/>
                <w:color w:val="000000"/>
                <w:sz w:val="28"/>
                <w:szCs w:val="28"/>
              </w:rPr>
              <w:t xml:space="preserve">ликвидацией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объекта недвижимого имущества, отказом от права собственности на объект недвижимого имущества, переходом права к новому правообладателю, п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trike/>
                <w:color w:val="000000"/>
                <w:sz w:val="28"/>
                <w:szCs w:val="28"/>
              </w:rPr>
              <w:t xml:space="preserve">реобразованием (реконструкцией) объекта нед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trike/>
                <w:color w:val="000000"/>
                <w:sz w:val="28"/>
                <w:szCs w:val="28"/>
              </w:rPr>
              <w:t xml:space="preserve">вижимого имущества;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8.1 п. 3 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8.1) за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государственный кадастровый учет и (или)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государственную регистрацию прекращения прав в связи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прекращением существования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объекта недвижимого имущества, отказом от права собственности на объект недвижимого имущества, переходом права к новому 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обладателю;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11) за государственную регистрацию права собственности Российской Федерации на автомобильные дороги, переданные в доверительное управление юридическому лицу, созданному в организационно-правовой форме государственной компании, и на земельные участки, предо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ставленные в аренду указанному юридическому лицу, государственную регистрацию договоров аренды земельных участков, предоставленных указанному юридическому лицу, а также за государственную регистрацию прекращения прав на такие автомобильные дороги 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ые участки;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11 п. 3 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11) за 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существляемые государственный кадастровый учет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регистрацию права собственности Российской Федерации на автомобильные дороги, переданные в доверительное управление юридическому лицу, созданному в организационно-правовой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компании, и на земельные участки, предоставленные в аренду указанному юридическому лицу, государственную регистрацию договоров аренды земельных участков, предоставленных указанному юридическому лицу, а также за государственную регистрацию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прекращения прав на такие автомобильные дороги и земельные участки;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25) за государственную регистрацию прав на недвижимое имущество Союзного государства и сделок с ним;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25 п. 3 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за государственный кадастровый учет созданных (образованных) объектов недвижимости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государственную регистрацию прав на недвижимое имущество Союзного государства и сделок с ним,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 осуществляемые одновременно государственный кадастровый учет и 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сударственную регистрацию прав на недвижимое имущество Союзного государства, а также за государственный кадастровый учет в связи с изменением сведений об объектах недвижимости, являющихся собственностью Союзного государства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33) за совершение юридически значимых действий, предусмотренных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подпунктом 28.1 пункта 1 статьи 333.33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настоящего Кодекса, в случае внесения изменений в записи Единого государственного реестра недвижимости в соответствии с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абзацами вторым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пятым пункта 2 статьи 23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Федерального закона от 16 июля 1998 года № 102-ФЗ «Об ипотеке (залоге недвижимости)»;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33 п. 3 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33) за совершение юридически значимых действий, предусмотренных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подпунктом 28.1 пункта 1 статьи 333.33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настоящего Кодекса, в случае внесения изменений в записи Единого государственного реестра недвижимости в соответствии с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пунктом 1.1 статьи 13.1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пунктом 1.1 статьи 13.4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пунктом 1.1 статьи 13.6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абзацами вторым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пятым пункта 2 статьи 23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Федерального закона от 16 июля 1998 года № 102-ФЗ «Об ипотеке (залоге недвижимости)»;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39) за государственную регистрацию доли в праве общей собственности на общее недвижимое имущество в многоквартирном доме, ином здании, сооружении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;</w:t>
            </w:r>
            <w:r/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strike/>
                <w:sz w:val="28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trike/>
                <w:color w:val="000000"/>
                <w:sz w:val="28"/>
                <w:szCs w:val="24"/>
              </w:rPr>
            </w:r>
            <w:r>
              <w:rPr>
                <w:strike/>
                <w:sz w:val="28"/>
                <w:szCs w:val="24"/>
              </w:rPr>
            </w:r>
            <w:r>
              <w:rPr>
                <w:strike/>
                <w:sz w:val="28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39 п. 3 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b/>
                <w:bCs/>
                <w:i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39) за государственную регистрацию доли в праве общей собственности на общее недвижимое имущество в многоквартирном доме, ином здании, сооружении,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 границах территории ведения гражданами садоводства или огородничества для собственных нужд, территории гара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жного назначения, территории малоэтажного жилого комплекса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</w:rPr>
              <w:t xml:space="preserve">;</w:t>
            </w:r>
            <w:r>
              <w:rPr>
                <w:b/>
                <w:bCs/>
                <w:i/>
              </w:rPr>
            </w:r>
            <w:r>
              <w:rPr>
                <w:b/>
                <w:bCs/>
                <w:i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&lt;фрагмент не существовал&gt;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П. 3 дополнен пп. 42 и 43 следующего содержания: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 Государственная пошлина не уплачивается в следующих сл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учаях: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42) за государственный кадастровый учет объектов недвижимости, осуществляемый на основании карты-плана территории, подготовленной по результатам выполнения комплексных кадастровых работ;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43) за государственный кадастровый учет относящегося к государственной или муниципальной собственности земельного участка в связи с его образованием или уточнением его границ в случае обращения с заявлением об осуществлении таких действий заинтересованных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лиц, предусмотренных Земельным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кодексом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</w:tr>
    </w:tbl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F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20426760"/>
      <w:docPartObj>
        <w:docPartGallery w:val="Page Numbers (Bottom of Page)"/>
        <w:docPartUnique w:val="true"/>
      </w:docPartObj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3"/>
    <w:next w:val="903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basedOn w:val="904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3"/>
    <w:next w:val="903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basedOn w:val="904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3"/>
    <w:next w:val="903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basedOn w:val="904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3"/>
    <w:next w:val="903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basedOn w:val="904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3"/>
    <w:next w:val="903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4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3"/>
    <w:next w:val="903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4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3"/>
    <w:next w:val="903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4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3"/>
    <w:next w:val="903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4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3"/>
    <w:next w:val="903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4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3"/>
    <w:uiPriority w:val="34"/>
    <w:qFormat/>
    <w:pPr>
      <w:contextualSpacing/>
      <w:ind w:left="720"/>
    </w:p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3"/>
    <w:next w:val="903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basedOn w:val="904"/>
    <w:link w:val="748"/>
    <w:uiPriority w:val="10"/>
    <w:rPr>
      <w:sz w:val="48"/>
      <w:szCs w:val="48"/>
    </w:rPr>
  </w:style>
  <w:style w:type="paragraph" w:styleId="750">
    <w:name w:val="Subtitle"/>
    <w:basedOn w:val="903"/>
    <w:next w:val="903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basedOn w:val="904"/>
    <w:link w:val="750"/>
    <w:uiPriority w:val="11"/>
    <w:rPr>
      <w:sz w:val="24"/>
      <w:szCs w:val="24"/>
    </w:rPr>
  </w:style>
  <w:style w:type="paragraph" w:styleId="752">
    <w:name w:val="Quote"/>
    <w:basedOn w:val="903"/>
    <w:next w:val="903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3"/>
    <w:next w:val="903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character" w:styleId="756">
    <w:name w:val="Header Char"/>
    <w:basedOn w:val="904"/>
    <w:link w:val="911"/>
    <w:uiPriority w:val="99"/>
  </w:style>
  <w:style w:type="character" w:styleId="757">
    <w:name w:val="Footer Char"/>
    <w:basedOn w:val="904"/>
    <w:link w:val="913"/>
    <w:uiPriority w:val="99"/>
  </w:style>
  <w:style w:type="paragraph" w:styleId="758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913"/>
    <w:uiPriority w:val="99"/>
  </w:style>
  <w:style w:type="table" w:styleId="760">
    <w:name w:val="Table Grid"/>
    <w:basedOn w:val="9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0">
    <w:name w:val="Grid Table 4 - Accent 2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Grid Table 4 - Accent 3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2">
    <w:name w:val="Grid Table 4 - Accent 4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Grid Table 4 - Accent 5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4">
    <w:name w:val="List Table 2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5">
    <w:name w:val="List Table 2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6">
    <w:name w:val="List Table 2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7">
    <w:name w:val="List Table 2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8">
    <w:name w:val="List Table 2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9">
    <w:name w:val="List Table 2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2">
    <w:name w:val="List Table 6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List Table 6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5">
    <w:name w:val="List Table 6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List Table 6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7">
    <w:name w:val="List Table 6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8">
    <w:name w:val="List Table 7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Lined - Accent 1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Lined - Accent 2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Lined - Accent 3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Lined - Accent 4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Lined - Accent 5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Lined - Accent 6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 &amp; Lined - Accent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Bordered &amp; Lined - Accent 1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Bordered &amp; Lined - Accent 2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Bordered &amp; Lined - Accent 3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Bordered &amp; Lined - Accent 4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Bordered &amp; Lined - Accent 5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Bordered &amp; Lined - Accent 6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0">
    <w:name w:val="Bordered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2">
    <w:name w:val="Bordered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3">
    <w:name w:val="Bordered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4">
    <w:name w:val="Bordered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5">
    <w:name w:val="Bordered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basedOn w:val="904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basedOn w:val="904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qFormat/>
  </w:style>
  <w:style w:type="character" w:styleId="904" w:default="1">
    <w:name w:val="Default Paragraph Font"/>
    <w:uiPriority w:val="1"/>
    <w:semiHidden/>
    <w:unhideWhenUsed/>
  </w:style>
  <w:style w:type="table" w:styleId="9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6" w:default="1">
    <w:name w:val="No List"/>
    <w:uiPriority w:val="99"/>
    <w:semiHidden/>
    <w:unhideWhenUsed/>
  </w:style>
  <w:style w:type="paragraph" w:styleId="907" w:customStyle="1">
    <w:name w:val="Standard"/>
    <w:rPr>
      <w:rFonts w:ascii="Calibri" w:hAnsi="Calibri" w:eastAsia="Calibri" w:cs="F"/>
    </w:rPr>
  </w:style>
  <w:style w:type="character" w:styleId="908">
    <w:name w:val="Hyperlink"/>
    <w:basedOn w:val="904"/>
    <w:uiPriority w:val="99"/>
    <w:unhideWhenUsed/>
    <w:rPr>
      <w:color w:val="0000ff" w:themeColor="hyperlink"/>
      <w:u w:val="single"/>
    </w:rPr>
  </w:style>
  <w:style w:type="paragraph" w:styleId="909">
    <w:name w:val="Balloon Text"/>
    <w:basedOn w:val="903"/>
    <w:link w:val="91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0" w:customStyle="1">
    <w:name w:val="Текст выноски Знак"/>
    <w:basedOn w:val="904"/>
    <w:link w:val="909"/>
    <w:uiPriority w:val="99"/>
    <w:semiHidden/>
    <w:rPr>
      <w:rFonts w:ascii="Segoe UI" w:hAnsi="Segoe UI" w:cs="Segoe UI"/>
      <w:sz w:val="18"/>
      <w:szCs w:val="18"/>
    </w:rPr>
  </w:style>
  <w:style w:type="paragraph" w:styleId="911">
    <w:name w:val="Header"/>
    <w:basedOn w:val="903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904"/>
    <w:link w:val="911"/>
    <w:uiPriority w:val="99"/>
  </w:style>
  <w:style w:type="paragraph" w:styleId="913">
    <w:name w:val="Footer"/>
    <w:basedOn w:val="903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904"/>
    <w:link w:val="91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29CFE-2D2A-40D5-92CD-8DB761BF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ziaa</dc:creator>
  <cp:keywords/>
  <dc:description/>
  <cp:revision>34</cp:revision>
  <dcterms:created xsi:type="dcterms:W3CDTF">2023-01-26T01:59:00Z</dcterms:created>
  <dcterms:modified xsi:type="dcterms:W3CDTF">2025-08-07T09:44:09Z</dcterms:modified>
</cp:coreProperties>
</file>