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7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Приложение № 3</w:t>
      </w:r>
      <w:r/>
    </w:p>
    <w:p>
      <w:pPr>
        <w:pStyle w:val="9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Сравнительная таблица по изменениям</w:t>
      </w:r>
      <w:r>
        <w:rPr>
          <w:rFonts w:ascii="Times New Roman" w:hAnsi="Times New Roman" w:cs="Times New Roman"/>
          <w:b/>
          <w:sz w:val="28"/>
          <w:szCs w:val="28"/>
        </w:rPr>
        <w:t xml:space="preserve">, внесенных Законом № 275-ФЗ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07"/>
        <w:jc w:val="center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Изменения, вступающие в силу с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31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08.202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5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</w:r>
    </w:p>
    <w:p>
      <w:pPr>
        <w:pStyle w:val="907"/>
        <w:jc w:val="center"/>
        <w:spacing w:line="240" w:lineRule="auto"/>
        <w:rPr>
          <w:i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i/>
        </w:rPr>
      </w:r>
      <w:r>
        <w:rPr>
          <w:i/>
        </w:rPr>
      </w:r>
    </w:p>
    <w:tbl>
      <w:tblPr>
        <w:tblW w:w="1524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66"/>
        <w:gridCol w:w="8082"/>
      </w:tblGrid>
      <w:tr>
        <w:tblPrEx/>
        <w:trPr/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«Стар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дакция Налогового кодекса Российской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Федерации (далее – НК РФ)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«Новая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дакция НК РФ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r>
          </w:p>
        </w:tc>
      </w:tr>
      <w:tr>
        <w:tblPrEx>
          <w:tblBorders>
            <w:bottom w:val="single" w:color="auto" w:sz="8" w:space="0"/>
          </w:tblBorders>
        </w:tblPrEx>
        <w:trPr>
          <w:trHeight w:val="552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Статья 333.33. Размеры государственной пошлины за государственную регистрацию, а также за совершение прочих юридически значимых действий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Статья 333.33. Размеры государственной пошлины за государственную регистрацию, а также за совершение прочих юридически значимых действий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22) за государственную регистрацию прав, ограничений прав и обременений объектов недвижимости, сделок с объектом недвижимости, если такие сделки подлежат государственной регистрации в соответствии с федеральным законом, за исключением юридически значимых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ействий,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подпунктами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пункта: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Абзац первый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пп. 22 п. 1 после цифр «26.1,» дополнен цифрами «26.2,»: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22) за государственную регистрацию прав, ограничений прав и обременений объектов недвижимости, сделок с объектом недвижимости, если такие сделки подлежат государственной регистрации в соответствии с федеральным законом, за исключением юридически значимых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ействий,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подпунктами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26.2,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пункта: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1393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ind w:firstLine="54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firstLine="54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22.2) за государственный кадастровый учет созданных (образованных) объектов недвижимости без одновременной государственной регистрации прав, за исключением юридически значимых действий,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подпунктом 22.3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пункта: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firstLine="54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Абзац перв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ый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пп. 22.2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п.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после цифр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кадастровый учет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дополнен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словом «создаваемых»: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22.2) за государственный кадастровый учет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создаваемых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созданных (образованных) объектов недвижимости без одновременной государственной регистрации прав, за исключением юридически значимых действий,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подпунктом 22.3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пункта: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firstLine="54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22.4) за осуществляемые одновременно государственный кадастровый учет и государственную регистрацию прав на созданные (образованные) объекты недвижимости: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физических лиц: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в отношении объекта недвижимости, кадастровая стоимость которого не определена или не превышает 20 000 000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- 6000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в отношении объекта недвижимости, кадастровая стоимость которого превышает 20 000 000 рублей, - в размере суммы государственной пошлины, исчисленной в соответствии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абзацем четвертым подпункта 22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 настоящего пункта и увеличенной на 2000 рублей;</w:t>
            </w:r>
            <w:r>
              <w:rPr>
                <w:rFonts w:ascii="Times New Roman" w:hAnsi="Times New Roman" w:cs="Times New Roman"/>
                <w:strike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trike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организаций: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в отношении объекта недвижимости, кадастровая стоимость которого не определена или не превышает 22 000 000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- 66 000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trike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в отношении объекта недвижимости, кадастровая стоимость которого превышает 22 000 000 рублей, - в размере суммы государственной пошлины, исчисленной в соответствии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абзацем седьмым подпункта 22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8"/>
                <w:szCs w:val="28"/>
              </w:rPr>
              <w:t xml:space="preserve"> настоящего пункта и увеличенной на 22 000 рублей;</w:t>
            </w:r>
            <w:r>
              <w:rPr>
                <w:rFonts w:ascii="Times New Roman" w:hAnsi="Times New Roman" w:cs="Times New Roman"/>
                <w:b/>
                <w:bCs/>
                <w:i/>
                <w:strike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trike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Пп. 22.4 п. 1 изложен в новой редакции: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22.4) за осуществляемые одновременно государственный кадастровый учет и государственную регистрацию прав на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оздаваемые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созданные (образованные) объекты недвижимости,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за исключением юридически значимых действий, предусмотренных подпунктом 26.2 настоящего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пункта: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для физических лиц - 6000 рублей;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для организаций - 66 000 рублей;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contextualSpacing/>
              <w:jc w:val="left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425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&lt;фрагмент не существовал&gt;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contextualSpacing/>
              <w:ind w:left="0" w:right="0" w:firstLine="540"/>
              <w:jc w:val="both"/>
              <w:spacing w:before="168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П. 1 дополнен пп. 26.2 следующего содержания: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26.2) за осуществляемые одновременно государственный кадастровый учет и государственную регистрацию прав на объекты сетей газораспределения и сетей газопотребления, созданные при выполнении мероприятий по подключению (технологическому присоединению) объек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тов капитального строительства, - 4000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27.2) за государственную регистрацию: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договоров аренды, уступки прав требования по договорам аренды, если такие договоры подлежат регистрации в Едином государственном реестре недвижимости: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физических лиц - 4000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организаций - 44 000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соглашения об изменении или о расторжении договора аренды, если такой договор зарегистрирован в Едином государственном реестре недвижимости: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физических лиц - 700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организаций - 2000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Абзац второй и пятый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пп. 27.2 п.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изложен в новой редакции: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.2) за государственную регистрацию: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договоров аренды,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безвозмездного пользования, в том числе договоров аренды, безвозмездного пользования частями объектов недвижимости, регистрация которых осуществляется одновременно с государственным кадастровым учетом таких частей объектов недвижимости,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уступки прав требования по договорам аренды,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безвозмездного пользования,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если такие договоры подлежат регистрации в Едином государственно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реестре недвижимости: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физических лиц - 4000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организаций - 44 000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соглашения об изменении или о расторжении договора аренды,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безвозмездного пользования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если такой договор зарегистрирован в Едином государственном реестре недвижимости: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физических лиц - 700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организаций - 2000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31) за государственную регистрацию сервитутов: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интересах физических лиц - 1 500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интересах организаций - 6 000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Абзац первый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пп. 31 п.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изложен в новой редакции: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Государственная пошлина уплачивается в следующих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азмерах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31) за государственную регистрацию сервитутов,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 том числе сервитутов, предусматривающих право ограниченного пользования частями земельных участков, государственная регистрация которых осуществляется одновременно с государственным кадастровым учетом таких частей земельных участков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интересах физических лиц - 1 500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тересах организаций - 6 000 рублей;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Статья 333.34-1. Особенности уплаты государственной пошлины за осуществление государственного кадастрового учета объектов недвижимости, в том числе в связи с изменением сведений об объектах недвижимости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Статья 333.34-1. Особенности уплаты государственной пошлины за осуществление государственного кадастрового учета объектов недвижимости, в том числе в связи с изменением сведений об объектах недвижимости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left="0" w:right="0" w:firstLine="425"/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В случае, если при осуществлении государственного кадастрового учета созданных здания, сооружения, государственного кадастрового учета и государственной регистрации прав на созданные здание, сооружение одновременно осуществляется государственный кадастр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овый учет всех расположенных в них помещений и (или) машино-мест, в том числе помещений, относящихся к имуществу общего пользования, государственная пошлина, предусмотренная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подпунктами 22.2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22.4 пункта 1 статьи 333.33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Кодекса, уплачивается только за осуществление государственного кадастрового учета здания, сооружения или за осуществление государственного кадастрового учета и государственной регистрации прав на здание, сооружение. Государственная пошлина за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государственного кадастрового учета помещений и (или) машино-мест в таком случае не уплачивается.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П.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изложен в новой редакции: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В случае, если при осуществлении государственного кадастрового учета созданных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(образованных)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здания, сооружения, государственного кадастрового учета и государственной регистрации прав на созданные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(образованные)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здание, сооружение одновременно осуществ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ляется государственный кадастровый учет всех расположенных в них помещений и (или) машино-мест, в том числе помещений, относящихся к имуществу общего пользования, государственная пошлина, предусмотренная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подпунктами 22.2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22.4 пункта 1 статьи 333.33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Кодекса, уплачивается только за осуществление государственного кадастрового учета здания, сооружения или за осуществление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одновременно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кадастрового учета и государственной регистрации прав на здание, сооружение. Государственная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пошлина за осуществление государственного кадастрового учета помещений и (или) машино-мест в таком случае не уплачивается.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99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&lt;фрагмент не существовал&gt;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ополнена п. 1.1 следующего содержания: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В случае, если при осуществлении государственного кадастрового учета созданных (образованных) здания, сооружения одновременно осуществляются государственный кадастровый учет всех расположенных в них помещений и (или) машино-мест, в том числе помещений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относящихся к имуществу общего пользования, и государственная регистрация прав на такие помещения и (или) машино-места, государственная пошлина уплачивается за осуществление государственного кадастрового учета здания, сооружения в размере, предусмотренно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подпунктом 22.2 пункта 1 статьи 333.33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Кодекса, и за осуществление государственной регистрации прав на каждое такое помещение и (или) каждое такое машино-место в размере, предусмотренном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подпунктом 22 пункта 1 статьи 333.33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Кодекса. Государственная пошлина за осуществление государственного кадастрового учета помещений и (или) машино-мест в данном случае не уплачивается.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В случае, если в результате реконструкции здания, сооружения изменены их параметры (количество этажей, площадь, высота, произведены надстройка, перестройка, расширение), в связи с чем осуществляется государственный кадастровый учет изменений характерист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ик расположенных в них помещений, машино-мест или осуществляется государственный кадастровый учет созданных и (или) образованных помещений, машино-мест, государственная пошлина, предусмотренная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подпунктом 22.3 пункта 1 статьи 333.33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Кодекса, уплачивается только за осуществление государственного кадастрового учета в связи с изменением характеристик таких здания, сооружения. Государственная пошлина за осуществление государственного кадастрового учета в связи с изменением хар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актеристик помещений, машино-мест, а также за осуществление государственного кадастрового учета помещений, машино-мест в таком случае не уплачивается.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П. 3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изложен в новой редакции: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"3. В случае, если в результате реконструкции здания, сооружения, строительства здания, сооружения, проводимых поэтапно, изменены их параметры (количество этажей, площадь, высота, произведены надстройка, перестройка, расширение), в связи с чем осуществляют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ся государственный кадастровый учет изменений характеристик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таких здания, сооружения и одновременно государственный кадастровый учет изменений характеристик расположенны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в них помещений, машино-мест и (или) государственный кадастровый учет созданных (обра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зованных) помещений, машино-мест, государственная пошлина, предусмотренная подпунктом 22.3 пункта 1 статьи 333.33 настоящего Кодекса, уплачивается только за осуществление государственного кадастрового учета в связи с изменением характеристик таких здания,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сооружения. Государственная пошлина за осуществление государственного кадастрового учета в связи с изменением характеристик помещений, машино-мест, а также за осуществление государственного кадастрового учета созданных (образованных) помещений, машино-мест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данном случае не уплачивается.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 случае, если в результате реконструкции здания, сооружения, строительства здания, сооружения, проводимых поэтапно, изменены их параметры (количество этажей, площадь, высота, произведены надстройка, перестройка, расширение), в связи с чем осуществляются 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осударственный кадастровый учет изменений характеристик таких здания, сооружения и одновременно государственный кадастровый учет изменений характеристик расположенных в них помещений, машино-мест и (или) одновременно государственный кадастровый учет создан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ных (образованных) помещений, машино-мест и государственная регистрация прав на них, уплачивается государственная пошлина, предусмотренная подпунктом 22.3 пункта 1 статьи 333.33 настоящего Кодекса, за осуществление государственного кадастрового учета в свя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зи с изменением характеристик таких здания, сооружения, а также государственная пошлина, предусмотренная подпунктом 22 пункта 1 статьи 333.33 настоящего Кодекса, за осуществление государственной регистрации прав в отношении каждого созданного (образованног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о) помещения, машино-места.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Статья 333.35. Льготы для отдельных категорий физических лиц и организаций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Статья 333.35. Льготы для отдельных категорий физических лиц и организаций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1. От уплаты государственной пошлины, установленной настоящей главой, освобождаются: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4) федеральные органы государственной власти, органы государственной власти субъектов Российской Федерации, органы местного самоуправления, органы публичной власти федеральной территории «Сириус» при их обращении за совершением юридически значимых действий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, установленных настоящей главой;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Пп. 4 п. 1 дополнен словами: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1. От уплаты государственной пошлины, установленной настоящей главой, освобождаются: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4) федеральные органы государственной власти, органы государственной власти субъектов Российской Федерации, органы местного самоуправления, органы публичной власти федеральной территории «Сириус» при их обращении за совершением юридичес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ки значимых действий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, установленных настоящей главой,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за исключением случаев обращения таких органов за совершением юридически значимых действий, установленных настоящей главой, в отношении иных лиц.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Статья 333.40. Основания и порядок возврата или зачета государственной пошлины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Статья 333.40. Основания и порядок возврата или зачета государственной пошлины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7166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4. Не подлежит возврату государственная пошлина, уплаченная за государственную регистрацию прав, ограничений прав и обременений объектов недвижимости, в случае отказа в государственной регистрации.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При прекращении государственной регистрации права, ограничения (обременения) права на недвижимое имущество, сделки с ним на основании соответствующих заявлений сторон договора возвращается половина уплаченной государственной пошлины.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80" w:type="dxa"/>
              <w:top w:w="60" w:type="dxa"/>
              <w:right w:w="80" w:type="dxa"/>
              <w:bottom w:w="60" w:type="dxa"/>
            </w:tcMar>
            <w:tcW w:w="8082" w:type="dxa"/>
            <w:vMerge w:val="restart"/>
            <w:textDirection w:val="lrTb"/>
            <w:noWrap w:val="false"/>
          </w:tcPr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П. 4 изложен в новой редакции: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4. Не подлежит возврату государственная пошлина, уплаченная за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осуществление государственного кадастрового учета и (или) государственной регистрации прав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, ограничений прав и обременений объекта недвижимости, сделок с объектом недвижимости, в случае отказа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осуществлении государственного кадастрового учета и (или)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государственной регистрации прав.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Не подлежит возврату уплаченная в соответствии с пунктом 1.1 статьи 333.33 настоящего Кодекса государственная пошлина за осуществление государственного кадастрового учета и (или) государственной регистрации прав, ограничений прав и обременений объекта недв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ижимости, сделок с объектом недвижимости в срок, установленный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пунктом 15 части 1 статьи 16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Федерального закона от 13 июля 2015 года № 218-ФЗ «О государственной регистрации недвижимости», в случае приостановления государственного кадастрового учета и (или) государственной регистрации прав, ограничений прав и обременений объекта недвижимости, сде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лок с объектом недвижимости.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В случае, если государственная пошлина была уплачена в соответствии с пунктом 1.1 статьи 333.33 настоящего Кодекса и государственный кадастровый учет и (или) государственная регистрация прав, ограничений прав и обременений объекта недвижимости, сделок с об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ъектом недвижимости не были осуществлены в срок, установленный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пунктом 15 части 1 статьи 16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Федерального закона от 13 июля 2015 года № 218-ФЗ «О государственной регистрации недвижимости», по причине, не связанной с приостановлением осуществления государственного кадастрового учета и (или) государственной регистрации прав, ограничений прав и обре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менений объекта недвижимости, сделок с объектом недвижимости, возвращается половина уплаченной государственной пошлины.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  <w14:ligatures w14:val="none"/>
              </w:rPr>
            </w:r>
          </w:p>
          <w:p>
            <w:pPr>
              <w:ind w:left="0" w:right="0" w:firstLine="54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При прекращении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в соответствии со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статьей 31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Федерального закона от 13 июля 2015 года № 218-ФЗ «О государственной регистрации недвижимости» осуществления государственного кадастрового учета и (или)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государственной регистрации прав, ограничений прав и обременений объекта недвижимости, сделок с объект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ом недвижимости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на основании соответствующего заявления лица, представившего заявление и (или) документы для осуществления государственного кадастрового учета и (или) государственной регистрации прав,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возвращается половина уплаченной государственной пошлин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ы.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</w:tc>
      </w:tr>
    </w:tbl>
    <w:p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F">
    <w:panose1 w:val="02000603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20426760"/>
      <w:docPartObj>
        <w:docPartGallery w:val="Page Numbers (Bottom of Page)"/>
        <w:docPartUnique w:val="true"/>
      </w:docPartObj>
      <w:rPr/>
    </w:sdtPr>
    <w:sdtContent>
      <w:p>
        <w:pPr>
          <w:pStyle w:val="9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9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8">
    <w:name w:val="Heading 1"/>
    <w:basedOn w:val="903"/>
    <w:next w:val="903"/>
    <w:link w:val="72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9">
    <w:name w:val="Heading 1 Char"/>
    <w:basedOn w:val="904"/>
    <w:link w:val="728"/>
    <w:uiPriority w:val="9"/>
    <w:rPr>
      <w:rFonts w:ascii="Arial" w:hAnsi="Arial" w:eastAsia="Arial" w:cs="Arial"/>
      <w:sz w:val="40"/>
      <w:szCs w:val="40"/>
    </w:rPr>
  </w:style>
  <w:style w:type="paragraph" w:styleId="730">
    <w:name w:val="Heading 2"/>
    <w:basedOn w:val="903"/>
    <w:next w:val="903"/>
    <w:link w:val="73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1">
    <w:name w:val="Heading 2 Char"/>
    <w:basedOn w:val="904"/>
    <w:link w:val="730"/>
    <w:uiPriority w:val="9"/>
    <w:rPr>
      <w:rFonts w:ascii="Arial" w:hAnsi="Arial" w:eastAsia="Arial" w:cs="Arial"/>
      <w:sz w:val="34"/>
    </w:rPr>
  </w:style>
  <w:style w:type="paragraph" w:styleId="732">
    <w:name w:val="Heading 3"/>
    <w:basedOn w:val="903"/>
    <w:next w:val="903"/>
    <w:link w:val="73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3">
    <w:name w:val="Heading 3 Char"/>
    <w:basedOn w:val="904"/>
    <w:link w:val="732"/>
    <w:uiPriority w:val="9"/>
    <w:rPr>
      <w:rFonts w:ascii="Arial" w:hAnsi="Arial" w:eastAsia="Arial" w:cs="Arial"/>
      <w:sz w:val="30"/>
      <w:szCs w:val="30"/>
    </w:rPr>
  </w:style>
  <w:style w:type="paragraph" w:styleId="734">
    <w:name w:val="Heading 4"/>
    <w:basedOn w:val="903"/>
    <w:next w:val="903"/>
    <w:link w:val="73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5">
    <w:name w:val="Heading 4 Char"/>
    <w:basedOn w:val="904"/>
    <w:link w:val="734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903"/>
    <w:next w:val="903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basedOn w:val="904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903"/>
    <w:next w:val="903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basedOn w:val="904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903"/>
    <w:next w:val="903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basedOn w:val="904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903"/>
    <w:next w:val="903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basedOn w:val="904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903"/>
    <w:next w:val="903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basedOn w:val="904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46">
    <w:name w:val="List Paragraph"/>
    <w:basedOn w:val="903"/>
    <w:uiPriority w:val="34"/>
    <w:qFormat/>
    <w:pPr>
      <w:contextualSpacing/>
      <w:ind w:left="720"/>
    </w:pPr>
  </w:style>
  <w:style w:type="paragraph" w:styleId="747">
    <w:name w:val="No Spacing"/>
    <w:uiPriority w:val="1"/>
    <w:qFormat/>
    <w:pPr>
      <w:spacing w:before="0" w:after="0" w:line="240" w:lineRule="auto"/>
    </w:pPr>
  </w:style>
  <w:style w:type="paragraph" w:styleId="748">
    <w:name w:val="Title"/>
    <w:basedOn w:val="903"/>
    <w:next w:val="903"/>
    <w:link w:val="74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9">
    <w:name w:val="Title Char"/>
    <w:basedOn w:val="904"/>
    <w:link w:val="748"/>
    <w:uiPriority w:val="10"/>
    <w:rPr>
      <w:sz w:val="48"/>
      <w:szCs w:val="48"/>
    </w:rPr>
  </w:style>
  <w:style w:type="paragraph" w:styleId="750">
    <w:name w:val="Subtitle"/>
    <w:basedOn w:val="903"/>
    <w:next w:val="903"/>
    <w:link w:val="751"/>
    <w:uiPriority w:val="11"/>
    <w:qFormat/>
    <w:pPr>
      <w:spacing w:before="200" w:after="200"/>
    </w:pPr>
    <w:rPr>
      <w:sz w:val="24"/>
      <w:szCs w:val="24"/>
    </w:rPr>
  </w:style>
  <w:style w:type="character" w:styleId="751">
    <w:name w:val="Subtitle Char"/>
    <w:basedOn w:val="904"/>
    <w:link w:val="750"/>
    <w:uiPriority w:val="11"/>
    <w:rPr>
      <w:sz w:val="24"/>
      <w:szCs w:val="24"/>
    </w:rPr>
  </w:style>
  <w:style w:type="paragraph" w:styleId="752">
    <w:name w:val="Quote"/>
    <w:basedOn w:val="903"/>
    <w:next w:val="903"/>
    <w:link w:val="753"/>
    <w:uiPriority w:val="29"/>
    <w:qFormat/>
    <w:pPr>
      <w:ind w:left="720" w:right="720"/>
    </w:pPr>
    <w:rPr>
      <w:i/>
    </w:r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basedOn w:val="903"/>
    <w:next w:val="903"/>
    <w:link w:val="75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5">
    <w:name w:val="Intense Quote Char"/>
    <w:link w:val="754"/>
    <w:uiPriority w:val="30"/>
    <w:rPr>
      <w:i/>
    </w:rPr>
  </w:style>
  <w:style w:type="character" w:styleId="756">
    <w:name w:val="Header Char"/>
    <w:basedOn w:val="904"/>
    <w:link w:val="911"/>
    <w:uiPriority w:val="99"/>
  </w:style>
  <w:style w:type="character" w:styleId="757">
    <w:name w:val="Footer Char"/>
    <w:basedOn w:val="904"/>
    <w:link w:val="913"/>
    <w:uiPriority w:val="99"/>
  </w:style>
  <w:style w:type="paragraph" w:styleId="758">
    <w:name w:val="Caption"/>
    <w:basedOn w:val="903"/>
    <w:next w:val="9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9">
    <w:name w:val="Caption Char"/>
    <w:basedOn w:val="758"/>
    <w:link w:val="913"/>
    <w:uiPriority w:val="99"/>
  </w:style>
  <w:style w:type="table" w:styleId="760">
    <w:name w:val="Table Grid"/>
    <w:basedOn w:val="90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Table Grid Light"/>
    <w:basedOn w:val="9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Plain Table 1"/>
    <w:basedOn w:val="9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2"/>
    <w:basedOn w:val="9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5">
    <w:name w:val="Plain Table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Plain Table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7">
    <w:name w:val="Grid Table 1 Light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4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9">
    <w:name w:val="Grid Table 4 - Accent 1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0">
    <w:name w:val="Grid Table 4 - Accent 2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Grid Table 4 - Accent 3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2">
    <w:name w:val="Grid Table 4 - Accent 4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Grid Table 4 - Accent 5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4">
    <w:name w:val="Grid Table 4 - Accent 6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5">
    <w:name w:val="Grid Table 5 Dark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6">
    <w:name w:val="Grid Table 5 Dark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2">
    <w:name w:val="Grid Table 6 Colorful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3">
    <w:name w:val="Grid Table 6 Colorful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4">
    <w:name w:val="Grid Table 6 Colorful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5">
    <w:name w:val="Grid Table 6 Colorful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6">
    <w:name w:val="Grid Table 6 Colorful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7">
    <w:name w:val="Grid Table 6 Colorful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6 Colorful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7 Colorful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4">
    <w:name w:val="List Table 2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5">
    <w:name w:val="List Table 2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6">
    <w:name w:val="List Table 2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7">
    <w:name w:val="List Table 2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8">
    <w:name w:val="List Table 2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9">
    <w:name w:val="List Table 2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0">
    <w:name w:val="List Table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5 Dark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6 Colorful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2">
    <w:name w:val="List Table 6 Colorful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3">
    <w:name w:val="List Table 6 Colorful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4">
    <w:name w:val="List Table 6 Colorful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5">
    <w:name w:val="List Table 6 Colorful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6">
    <w:name w:val="List Table 6 Colorful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7">
    <w:name w:val="List Table 6 Colorful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8">
    <w:name w:val="List Table 7 Colorful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9">
    <w:name w:val="List Table 7 Colorful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0">
    <w:name w:val="List Table 7 Colorful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1">
    <w:name w:val="List Table 7 Colorful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2">
    <w:name w:val="List Table 7 Colorful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3">
    <w:name w:val="List Table 7 Colorful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4">
    <w:name w:val="List Table 7 Colorful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5">
    <w:name w:val="Lined - Accent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6">
    <w:name w:val="Lined - Accent 1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7">
    <w:name w:val="Lined - Accent 2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8">
    <w:name w:val="Lined - Accent 3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9">
    <w:name w:val="Lined - Accent 4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0">
    <w:name w:val="Lined - Accent 5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1">
    <w:name w:val="Lined - Accent 6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2">
    <w:name w:val="Bordered &amp; Lined - Accent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Bordered &amp; Lined - Accent 1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4">
    <w:name w:val="Bordered &amp; Lined - Accent 2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5">
    <w:name w:val="Bordered &amp; Lined - Accent 3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6">
    <w:name w:val="Bordered &amp; Lined - Accent 4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7">
    <w:name w:val="Bordered &amp; Lined - Accent 5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8">
    <w:name w:val="Bordered &amp; Lined - Accent 6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9">
    <w:name w:val="Bordered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0">
    <w:name w:val="Bordered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1">
    <w:name w:val="Bordered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2">
    <w:name w:val="Bordered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3">
    <w:name w:val="Bordered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4">
    <w:name w:val="Bordered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5">
    <w:name w:val="Bordered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6">
    <w:name w:val="footnote text"/>
    <w:basedOn w:val="903"/>
    <w:link w:val="887"/>
    <w:uiPriority w:val="99"/>
    <w:semiHidden/>
    <w:unhideWhenUsed/>
    <w:pPr>
      <w:spacing w:after="40" w:line="240" w:lineRule="auto"/>
    </w:pPr>
    <w:rPr>
      <w:sz w:val="18"/>
    </w:rPr>
  </w:style>
  <w:style w:type="character" w:styleId="887">
    <w:name w:val="Footnote Text Char"/>
    <w:link w:val="886"/>
    <w:uiPriority w:val="99"/>
    <w:rPr>
      <w:sz w:val="18"/>
    </w:rPr>
  </w:style>
  <w:style w:type="character" w:styleId="888">
    <w:name w:val="footnote reference"/>
    <w:basedOn w:val="904"/>
    <w:uiPriority w:val="99"/>
    <w:unhideWhenUsed/>
    <w:rPr>
      <w:vertAlign w:val="superscript"/>
    </w:rPr>
  </w:style>
  <w:style w:type="paragraph" w:styleId="889">
    <w:name w:val="endnote text"/>
    <w:basedOn w:val="903"/>
    <w:link w:val="890"/>
    <w:uiPriority w:val="99"/>
    <w:semiHidden/>
    <w:unhideWhenUsed/>
    <w:pPr>
      <w:spacing w:after="0" w:line="240" w:lineRule="auto"/>
    </w:pPr>
    <w:rPr>
      <w:sz w:val="20"/>
    </w:rPr>
  </w:style>
  <w:style w:type="character" w:styleId="890">
    <w:name w:val="Endnote Text Char"/>
    <w:link w:val="889"/>
    <w:uiPriority w:val="99"/>
    <w:rPr>
      <w:sz w:val="20"/>
    </w:rPr>
  </w:style>
  <w:style w:type="character" w:styleId="891">
    <w:name w:val="endnote reference"/>
    <w:basedOn w:val="904"/>
    <w:uiPriority w:val="99"/>
    <w:semiHidden/>
    <w:unhideWhenUsed/>
    <w:rPr>
      <w:vertAlign w:val="superscript"/>
    </w:rPr>
  </w:style>
  <w:style w:type="paragraph" w:styleId="892">
    <w:name w:val="toc 1"/>
    <w:basedOn w:val="903"/>
    <w:next w:val="903"/>
    <w:uiPriority w:val="39"/>
    <w:unhideWhenUsed/>
    <w:pPr>
      <w:ind w:left="0" w:right="0" w:firstLine="0"/>
      <w:spacing w:after="57"/>
    </w:pPr>
  </w:style>
  <w:style w:type="paragraph" w:styleId="893">
    <w:name w:val="toc 2"/>
    <w:basedOn w:val="903"/>
    <w:next w:val="903"/>
    <w:uiPriority w:val="39"/>
    <w:unhideWhenUsed/>
    <w:pPr>
      <w:ind w:left="283" w:right="0" w:firstLine="0"/>
      <w:spacing w:after="57"/>
    </w:pPr>
  </w:style>
  <w:style w:type="paragraph" w:styleId="894">
    <w:name w:val="toc 3"/>
    <w:basedOn w:val="903"/>
    <w:next w:val="903"/>
    <w:uiPriority w:val="39"/>
    <w:unhideWhenUsed/>
    <w:pPr>
      <w:ind w:left="567" w:right="0" w:firstLine="0"/>
      <w:spacing w:after="57"/>
    </w:pPr>
  </w:style>
  <w:style w:type="paragraph" w:styleId="895">
    <w:name w:val="toc 4"/>
    <w:basedOn w:val="903"/>
    <w:next w:val="903"/>
    <w:uiPriority w:val="39"/>
    <w:unhideWhenUsed/>
    <w:pPr>
      <w:ind w:left="850" w:right="0" w:firstLine="0"/>
      <w:spacing w:after="57"/>
    </w:pPr>
  </w:style>
  <w:style w:type="paragraph" w:styleId="896">
    <w:name w:val="toc 5"/>
    <w:basedOn w:val="903"/>
    <w:next w:val="903"/>
    <w:uiPriority w:val="39"/>
    <w:unhideWhenUsed/>
    <w:pPr>
      <w:ind w:left="1134" w:right="0" w:firstLine="0"/>
      <w:spacing w:after="57"/>
    </w:pPr>
  </w:style>
  <w:style w:type="paragraph" w:styleId="897">
    <w:name w:val="toc 6"/>
    <w:basedOn w:val="903"/>
    <w:next w:val="903"/>
    <w:uiPriority w:val="39"/>
    <w:unhideWhenUsed/>
    <w:pPr>
      <w:ind w:left="1417" w:right="0" w:firstLine="0"/>
      <w:spacing w:after="57"/>
    </w:pPr>
  </w:style>
  <w:style w:type="paragraph" w:styleId="898">
    <w:name w:val="toc 7"/>
    <w:basedOn w:val="903"/>
    <w:next w:val="903"/>
    <w:uiPriority w:val="39"/>
    <w:unhideWhenUsed/>
    <w:pPr>
      <w:ind w:left="1701" w:right="0" w:firstLine="0"/>
      <w:spacing w:after="57"/>
    </w:pPr>
  </w:style>
  <w:style w:type="paragraph" w:styleId="899">
    <w:name w:val="toc 8"/>
    <w:basedOn w:val="903"/>
    <w:next w:val="903"/>
    <w:uiPriority w:val="39"/>
    <w:unhideWhenUsed/>
    <w:pPr>
      <w:ind w:left="1984" w:right="0" w:firstLine="0"/>
      <w:spacing w:after="57"/>
    </w:pPr>
  </w:style>
  <w:style w:type="paragraph" w:styleId="900">
    <w:name w:val="toc 9"/>
    <w:basedOn w:val="903"/>
    <w:next w:val="903"/>
    <w:uiPriority w:val="39"/>
    <w:unhideWhenUsed/>
    <w:pPr>
      <w:ind w:left="2268" w:right="0" w:firstLine="0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903"/>
    <w:next w:val="903"/>
    <w:uiPriority w:val="99"/>
    <w:unhideWhenUsed/>
    <w:pPr>
      <w:spacing w:after="0" w:afterAutospacing="0"/>
    </w:pPr>
  </w:style>
  <w:style w:type="paragraph" w:styleId="903" w:default="1">
    <w:name w:val="Normal"/>
    <w:qFormat/>
  </w:style>
  <w:style w:type="character" w:styleId="904" w:default="1">
    <w:name w:val="Default Paragraph Font"/>
    <w:uiPriority w:val="1"/>
    <w:semiHidden/>
    <w:unhideWhenUsed/>
  </w:style>
  <w:style w:type="table" w:styleId="9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6" w:default="1">
    <w:name w:val="No List"/>
    <w:uiPriority w:val="99"/>
    <w:semiHidden/>
    <w:unhideWhenUsed/>
  </w:style>
  <w:style w:type="paragraph" w:styleId="907" w:customStyle="1">
    <w:name w:val="Standard"/>
    <w:rPr>
      <w:rFonts w:ascii="Calibri" w:hAnsi="Calibri" w:eastAsia="Calibri" w:cs="F"/>
    </w:rPr>
  </w:style>
  <w:style w:type="character" w:styleId="908">
    <w:name w:val="Hyperlink"/>
    <w:basedOn w:val="904"/>
    <w:uiPriority w:val="99"/>
    <w:unhideWhenUsed/>
    <w:rPr>
      <w:color w:val="0000ff" w:themeColor="hyperlink"/>
      <w:u w:val="single"/>
    </w:rPr>
  </w:style>
  <w:style w:type="paragraph" w:styleId="909">
    <w:name w:val="Balloon Text"/>
    <w:basedOn w:val="903"/>
    <w:link w:val="91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10" w:customStyle="1">
    <w:name w:val="Текст выноски Знак"/>
    <w:basedOn w:val="904"/>
    <w:link w:val="909"/>
    <w:uiPriority w:val="99"/>
    <w:semiHidden/>
    <w:rPr>
      <w:rFonts w:ascii="Segoe UI" w:hAnsi="Segoe UI" w:cs="Segoe UI"/>
      <w:sz w:val="18"/>
      <w:szCs w:val="18"/>
    </w:rPr>
  </w:style>
  <w:style w:type="paragraph" w:styleId="911">
    <w:name w:val="Header"/>
    <w:basedOn w:val="903"/>
    <w:link w:val="9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2" w:customStyle="1">
    <w:name w:val="Верхний колонтитул Знак"/>
    <w:basedOn w:val="904"/>
    <w:link w:val="911"/>
    <w:uiPriority w:val="99"/>
  </w:style>
  <w:style w:type="paragraph" w:styleId="913">
    <w:name w:val="Footer"/>
    <w:basedOn w:val="903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904"/>
    <w:link w:val="91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29CFE-2D2A-40D5-92CD-8DB761BF8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ziaa</dc:creator>
  <cp:keywords/>
  <dc:description/>
  <cp:revision>31</cp:revision>
  <dcterms:created xsi:type="dcterms:W3CDTF">2023-01-26T01:59:00Z</dcterms:created>
  <dcterms:modified xsi:type="dcterms:W3CDTF">2025-08-07T02:18:10Z</dcterms:modified>
</cp:coreProperties>
</file>