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8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27"/>
      </w:tblGrid>
      <w:tr>
        <w:tblPrEx/>
        <w:trPr>
          <w:trHeight w:val="43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27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19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9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19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45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88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19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19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19"/>
              <w:ind w:firstLine="0"/>
              <w:tabs>
                <w:tab w:val="left" w:pos="4678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  <w:t xml:space="preserve">_____________</w:t>
            </w:r>
            <w:r>
              <w:rPr>
                <w:sz w:val="22"/>
                <w:szCs w:val="22"/>
                <w:lang w:val="en-US"/>
              </w:rPr>
              <w:t xml:space="preserve">________№____________________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19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19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  <w:u w:val="single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</w:t>
            </w:r>
            <w:r>
              <w:rPr>
                <w:sz w:val="22"/>
                <w:szCs w:val="22"/>
              </w:rPr>
              <w:t xml:space="preserve">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-442890</wp:posOffset>
                </wp:positionH>
                <wp:positionV relativeFrom="paragraph">
                  <wp:posOffset>0</wp:posOffset>
                </wp:positionV>
                <wp:extent cx="3052445" cy="2592799"/>
                <wp:effectExtent l="6350" t="6350" r="6350" b="6350"/>
                <wp:wrapNone/>
                <wp:docPr id="1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052444" cy="2592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19"/>
                              <w:ind w:left="-142" w:right="0" w:firstLine="425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ind w:left="-142" w:right="834" w:firstLine="425"/>
                              <w:jc w:val="center"/>
                            </w:pP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919"/>
                              <w:ind w:left="-142" w:right="834" w:firstLine="425"/>
                              <w:jc w:val="center"/>
                              <w:rPr>
                                <w:highlight w:val="none"/>
                              </w:rPr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919"/>
                              <w:ind w:left="-142" w:right="834" w:firstLine="425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19"/>
                              <w:ind w:left="-142" w:right="834" w:firstLine="425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19"/>
                              <w:ind w:left="-142" w:right="834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19"/>
                              <w:ind w:left="-142" w:right="834" w:firstLine="425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19"/>
                              <w:ind w:left="-142" w:right="0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19"/>
                              <w:ind w:left="-1276" w:right="2398" w:firstLine="851"/>
                            </w:pPr>
                            <w:r/>
                            <w:r/>
                          </w:p>
                          <w:p>
                            <w:pPr>
                              <w:pStyle w:val="919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-34.87pt;mso-position-horizontal:absolute;mso-position-vertical-relative:text;margin-top:0.00pt;mso-position-vertical:absolute;width:240.35pt;height:204.16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919"/>
                        <w:ind w:left="-142" w:right="0" w:firstLine="425"/>
                        <w:jc w:val="center"/>
                        <w:tabs>
                          <w:tab w:val="left" w:pos="3828" w:leader="none"/>
                          <w:tab w:val="left" w:pos="4111" w:leader="none"/>
                          <w:tab w:val="left" w:pos="4253" w:leader="none"/>
                          <w:tab w:val="left" w:pos="4820" w:leader="none"/>
                        </w:tabs>
                      </w:pPr>
                      <w:r/>
                      <w:r/>
                    </w:p>
                    <w:p>
                      <w:pPr>
                        <w:ind w:left="-142" w:right="834" w:firstLine="425"/>
                        <w:jc w:val="center"/>
                      </w:pP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  <w:r/>
                    </w:p>
                    <w:p>
                      <w:pPr>
                        <w:pStyle w:val="919"/>
                        <w:ind w:left="-142" w:right="834" w:firstLine="425"/>
                        <w:jc w:val="center"/>
                        <w:rPr>
                          <w:highlight w:val="none"/>
                        </w:rPr>
                      </w:pPr>
                      <w:r>
                        <w:t xml:space="preserve">Директорам </w:t>
                      </w:r>
                      <w:r>
                        <w:t xml:space="preserve">саморегулируемых </w:t>
                      </w: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</w:p>
                    <w:p>
                      <w:pPr>
                        <w:pStyle w:val="919"/>
                        <w:ind w:left="-142" w:right="834" w:firstLine="425"/>
                        <w:jc w:val="center"/>
                      </w:pPr>
                      <w:r>
                        <w:t xml:space="preserve">организаций кадастровых </w:t>
                      </w:r>
                      <w:r/>
                    </w:p>
                    <w:p>
                      <w:pPr>
                        <w:pStyle w:val="919"/>
                        <w:ind w:left="-142" w:right="834" w:firstLine="425"/>
                        <w:jc w:val="center"/>
                      </w:pPr>
                      <w:r>
                        <w:t xml:space="preserve">инженеров</w:t>
                      </w:r>
                      <w:r/>
                    </w:p>
                    <w:p>
                      <w:pPr>
                        <w:pStyle w:val="919"/>
                        <w:ind w:left="-142" w:right="834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19"/>
                        <w:ind w:left="-142" w:right="834" w:firstLine="425"/>
                        <w:jc w:val="center"/>
                      </w:pPr>
                      <w:r>
                        <w:t xml:space="preserve">(по списку)</w:t>
                      </w:r>
                      <w:r/>
                    </w:p>
                    <w:p>
                      <w:pPr>
                        <w:pStyle w:val="919"/>
                        <w:ind w:left="-142" w:right="0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19"/>
                        <w:ind w:left="-1276" w:right="2398" w:firstLine="851"/>
                      </w:pPr>
                      <w:r/>
                      <w:r/>
                    </w:p>
                    <w:p>
                      <w:pPr>
                        <w:pStyle w:val="919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ind w:firstLine="0"/>
      </w:pPr>
      <w:r/>
      <w:r/>
    </w:p>
    <w:p>
      <w:pPr>
        <w:ind w:firstLine="0"/>
      </w:pPr>
      <w:r/>
      <w:r/>
    </w:p>
    <w:p>
      <w:pPr>
        <w:contextualSpacing/>
        <w:ind w:firstLine="0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 изменении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(дополнении)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contextualSpacing/>
        <w:ind w:firstLine="0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ст. 333.33 НК РФ,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ст. 333.34-1 НК РФ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ind w:left="0" w:right="0" w:firstLine="0"/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ст. 333.35 НК РФ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ст. 333.40 НК РФ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919"/>
        <w:ind w:firstLine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919"/>
        <w:ind w:right="-2" w:firstLine="0"/>
        <w:spacing w:line="240" w:lineRule="auto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4"/>
        <w:jc w:val="center"/>
        <w:spacing w:line="240" w:lineRule="auto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19"/>
        <w:spacing w:line="24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Доводим д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Вашего сведения информацию, что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31.07.2025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вступают в силу изменения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(за исключением отдельных положений),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внесенные Федеральным законом 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31.07.2025 № 275-ФЗ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 внесении изменений в главу 25.3 части второй Налогового кодекса Российской Федерации»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                  (далее – Закон № 275-ФЗ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) (Приложение № 1)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Налоговый кодекс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Российской Федерации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(далее – НК РФ).
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Подробная 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равнительная таблица изменений (дополнений)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 внесенных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Законом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275-ФЗ,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в п. 1 ст. 333.33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 вступающих в силу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с 31.07.2025,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приведена в Приложении № 2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к настоящему письму.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highlight w:val="none"/>
          <w:u w:val="none"/>
          <w14:ligatures w14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Подробная 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равнительная таблица изменений (дополнений)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 внесенных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Законом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275-ФЗ, в п. 1 ст. 333.33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ст. 333.34-1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ст. 333.35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ст. 333.40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вступающих в силу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с 31.08.2025,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приведена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Приложении № 3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к настоящему письму.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Согласно принятому закону, в частности,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установленные размеры государственных пошлин (далее – госпошлина) за регистрацию прав в отношении объектов недвижимости подлежат применению также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в отношении доли в праве общей долевой собственности на объект недви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жимости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Устанавливается зависимость размера пошлины от размера такой доли в праве собственности. Указанные положения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распространяется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на правоотношения, возникшие с 1 января 2025 года (абз. 3, 4, 6, 7 пп. 22, абз. 2, 3 пп. 22.1 п. 1 ст 333.33 НК РФ)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highlight w:val="none"/>
          <w:u w:val="none"/>
          <w14:ligatures w14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Законом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275-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ФЗ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вносятся изменения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ст.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333.35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НК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«Льготы для отдельных категорий физических лиц и организаций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», в частности: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pStyle w:val="759"/>
        <w:numPr>
          <w:ilvl w:val="0"/>
          <w:numId w:val="41"/>
        </w:num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при го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сударственной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регистрации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доли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в праве общей собственности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на общее недвижимое имущество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в многоквартирном доме, ином здании, сооружении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госпошлина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не уплачиваетс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если такая доля находится в границах территории ведения гражданами садоводства или огородничества для собственных нужд, территории гаражного назначения или малоэтажного жилого комплекса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(пп. 39 п. 1 ст 333.35 НК РФ)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pStyle w:val="759"/>
        <w:numPr>
          <w:ilvl w:val="0"/>
          <w:numId w:val="42"/>
        </w:num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от уплаты госпошлины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за ГКУ и (или) ГРП на принадлежащие им или приобретаемые ими объекты недвижимости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освобождаются 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ица, принимающие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(принимавшие)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участие в СВО, а также обеспечивающие (обеспечивавшие) выполнение задач в ходе СВО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(пп. 20 п. 1 ст 333.35                 НК РФ)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3. Внесены дополнения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ст.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333.40 НК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  <w:lang w:eastAsia="ru-RU"/>
        </w:rPr>
        <w:t xml:space="preserve">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</w:rPr>
        <w:t xml:space="preserve"> 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</w:rPr>
        <w:t xml:space="preserve">Основания и порядок возврата или зачета государственной пошлины»: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  <w14:ligatures w14:val="none"/>
        </w:rPr>
      </w:r>
    </w:p>
    <w:p>
      <w:pPr>
        <w:pStyle w:val="759"/>
        <w:numPr>
          <w:ilvl w:val="0"/>
          <w:numId w:val="44"/>
        </w:num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в положения,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регулирующие порядок взимания госпошлины за ГРП на объекты недвижимости, также применяются в сл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учае ГКУ соответствующих объектов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(пп. 4 п. 1 ст 33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3.40 НК РФ)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pStyle w:val="759"/>
        <w:numPr>
          <w:ilvl w:val="0"/>
          <w:numId w:val="44"/>
        </w:num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при прекращении осуществления ГКУ и ГРП,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</w:rPr>
        <w:t xml:space="preserve">ограничений прав и обре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</w:rPr>
        <w:t xml:space="preserve">менений объекта недвижимости, сделок с объектом недвижимости,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в соответствии со ст. 31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Федерального закона от 13.07.2015 № 218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-ФЗ                     «О государственной регистрации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недвижимости»,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8"/>
          <w:szCs w:val="28"/>
          <w:u w:val="none"/>
        </w:rPr>
        <w:t xml:space="preserve">возвращается половина уплаченной госпошлины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(п. 4 ст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333.40 НК РФ)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  <w14:ligatures w14:val="none"/>
        </w:rPr>
      </w:r>
    </w:p>
    <w:p>
      <w:pPr>
        <w:pStyle w:val="919"/>
        <w:spacing w:line="240" w:lineRule="auto"/>
      </w:pPr>
      <w:r>
        <w:rPr>
          <w:lang w:eastAsia="ru-RU"/>
        </w:rPr>
        <w:t xml:space="preserve">Просим довести вышеуказанную информацию до сведения кадастровых инженеров.</w:t>
      </w:r>
      <w:r/>
    </w:p>
    <w:p>
      <w:pPr>
        <w:pStyle w:val="919"/>
        <w:spacing w:line="240" w:lineRule="auto"/>
      </w:pPr>
      <w:r/>
      <w:r/>
    </w:p>
    <w:p>
      <w:pPr>
        <w:pStyle w:val="919"/>
        <w:spacing w:line="240" w:lineRule="auto"/>
      </w:pPr>
      <w:r/>
      <w:r/>
    </w:p>
    <w:p>
      <w:pPr>
        <w:ind w:left="0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Приложение: 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Закон № 275-ФЗ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10 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Закон № 275-ФЗ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.dox, 45,02 Kб;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</w:p>
    <w:p>
      <w:pPr>
        <w:ind w:left="1701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Таблица изменений, внесенных 275 ФЗ, вступающих 31.07.25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10 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Таблица изменений, внесенных 275 ФЗ, вступающих 31.07.25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.dox, 37,08 Kб;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</w:p>
    <w:p>
      <w:pPr>
        <w:ind w:left="1701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Таблица изменений, внесенных 275 ФЗ, вступающих 31.08.25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09 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Таблица изменений, внесенных 275 ФЗ, вступающих 31.08.25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.dox, 35,81 Kб.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contextualSpacing/>
        <w:ind w:left="2410" w:hanging="2410"/>
        <w:spacing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ind w:left="2410" w:hanging="2410"/>
        <w:spacing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И.о. руководителя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И.В. Пархоменко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19"/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9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 </w:t>
      </w:r>
      <w:r>
        <w:rPr>
          <w:color w:val="000000"/>
          <w:sz w:val="24"/>
          <w:szCs w:val="24"/>
        </w:rPr>
        <w:t xml:space="preserve">Дарина Сергеевна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19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1">
    <w:name w:val="Heading 1"/>
    <w:basedOn w:val="919"/>
    <w:next w:val="919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2">
    <w:name w:val="Heading 1 Char"/>
    <w:link w:val="741"/>
    <w:uiPriority w:val="9"/>
    <w:rPr>
      <w:rFonts w:ascii="Arial" w:hAnsi="Arial" w:eastAsia="Arial" w:cs="Arial"/>
      <w:sz w:val="40"/>
      <w:szCs w:val="40"/>
    </w:rPr>
  </w:style>
  <w:style w:type="paragraph" w:styleId="743">
    <w:name w:val="Heading 2"/>
    <w:basedOn w:val="919"/>
    <w:next w:val="919"/>
    <w:link w:val="7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4">
    <w:name w:val="Heading 2 Char"/>
    <w:link w:val="743"/>
    <w:uiPriority w:val="9"/>
    <w:rPr>
      <w:rFonts w:ascii="Arial" w:hAnsi="Arial" w:eastAsia="Arial" w:cs="Arial"/>
      <w:sz w:val="34"/>
    </w:rPr>
  </w:style>
  <w:style w:type="paragraph" w:styleId="745">
    <w:name w:val="Heading 3"/>
    <w:basedOn w:val="919"/>
    <w:next w:val="919"/>
    <w:link w:val="7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6">
    <w:name w:val="Heading 3 Char"/>
    <w:link w:val="745"/>
    <w:uiPriority w:val="9"/>
    <w:rPr>
      <w:rFonts w:ascii="Arial" w:hAnsi="Arial" w:eastAsia="Arial" w:cs="Arial"/>
      <w:sz w:val="30"/>
      <w:szCs w:val="30"/>
    </w:rPr>
  </w:style>
  <w:style w:type="paragraph" w:styleId="747">
    <w:name w:val="Heading 4"/>
    <w:basedOn w:val="919"/>
    <w:next w:val="919"/>
    <w:link w:val="7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8">
    <w:name w:val="Heading 4 Char"/>
    <w:link w:val="747"/>
    <w:uiPriority w:val="9"/>
    <w:rPr>
      <w:rFonts w:ascii="Arial" w:hAnsi="Arial" w:eastAsia="Arial" w:cs="Arial"/>
      <w:b/>
      <w:bCs/>
      <w:sz w:val="26"/>
      <w:szCs w:val="26"/>
    </w:rPr>
  </w:style>
  <w:style w:type="paragraph" w:styleId="749">
    <w:name w:val="Heading 5"/>
    <w:basedOn w:val="919"/>
    <w:next w:val="919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0">
    <w:name w:val="Heading 5 Char"/>
    <w:link w:val="749"/>
    <w:uiPriority w:val="9"/>
    <w:rPr>
      <w:rFonts w:ascii="Arial" w:hAnsi="Arial" w:eastAsia="Arial" w:cs="Arial"/>
      <w:b/>
      <w:bCs/>
      <w:sz w:val="24"/>
      <w:szCs w:val="24"/>
    </w:rPr>
  </w:style>
  <w:style w:type="paragraph" w:styleId="751">
    <w:name w:val="Heading 6"/>
    <w:basedOn w:val="919"/>
    <w:next w:val="919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2">
    <w:name w:val="Heading 6 Char"/>
    <w:link w:val="751"/>
    <w:uiPriority w:val="9"/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919"/>
    <w:next w:val="919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4">
    <w:name w:val="Heading 7 Char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919"/>
    <w:next w:val="919"/>
    <w:link w:val="7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6">
    <w:name w:val="Heading 8 Char"/>
    <w:link w:val="755"/>
    <w:uiPriority w:val="9"/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919"/>
    <w:next w:val="919"/>
    <w:link w:val="7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>
    <w:name w:val="Heading 9 Char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759">
    <w:name w:val="List Paragraph"/>
    <w:basedOn w:val="919"/>
    <w:uiPriority w:val="34"/>
    <w:qFormat/>
    <w:pPr>
      <w:contextualSpacing/>
      <w:ind w:left="720"/>
    </w:pPr>
  </w:style>
  <w:style w:type="paragraph" w:styleId="760">
    <w:name w:val="No Spacing"/>
    <w:uiPriority w:val="1"/>
    <w:qFormat/>
    <w:pPr>
      <w:spacing w:before="0" w:after="0" w:line="240" w:lineRule="auto"/>
    </w:pPr>
  </w:style>
  <w:style w:type="paragraph" w:styleId="761">
    <w:name w:val="Title"/>
    <w:basedOn w:val="919"/>
    <w:next w:val="919"/>
    <w:link w:val="7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2">
    <w:name w:val="Title Char"/>
    <w:link w:val="761"/>
    <w:uiPriority w:val="10"/>
    <w:rPr>
      <w:sz w:val="48"/>
      <w:szCs w:val="48"/>
    </w:rPr>
  </w:style>
  <w:style w:type="paragraph" w:styleId="763">
    <w:name w:val="Subtitle"/>
    <w:basedOn w:val="919"/>
    <w:next w:val="919"/>
    <w:link w:val="764"/>
    <w:uiPriority w:val="11"/>
    <w:qFormat/>
    <w:pPr>
      <w:spacing w:before="200" w:after="200"/>
    </w:pPr>
    <w:rPr>
      <w:sz w:val="24"/>
      <w:szCs w:val="24"/>
    </w:rPr>
  </w:style>
  <w:style w:type="character" w:styleId="764">
    <w:name w:val="Subtitle Char"/>
    <w:link w:val="763"/>
    <w:uiPriority w:val="11"/>
    <w:rPr>
      <w:sz w:val="24"/>
      <w:szCs w:val="24"/>
    </w:rPr>
  </w:style>
  <w:style w:type="paragraph" w:styleId="765">
    <w:name w:val="Quote"/>
    <w:basedOn w:val="919"/>
    <w:next w:val="919"/>
    <w:link w:val="766"/>
    <w:uiPriority w:val="29"/>
    <w:qFormat/>
    <w:pPr>
      <w:ind w:left="720" w:right="720"/>
    </w:pPr>
    <w:rPr>
      <w:i/>
    </w:rPr>
  </w:style>
  <w:style w:type="character" w:styleId="766">
    <w:name w:val="Quote Char"/>
    <w:link w:val="765"/>
    <w:uiPriority w:val="29"/>
    <w:rPr>
      <w:i/>
    </w:rPr>
  </w:style>
  <w:style w:type="paragraph" w:styleId="767">
    <w:name w:val="Intense Quote"/>
    <w:basedOn w:val="919"/>
    <w:next w:val="919"/>
    <w:link w:val="7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>
    <w:name w:val="Intense Quote Char"/>
    <w:link w:val="767"/>
    <w:uiPriority w:val="30"/>
    <w:rPr>
      <w:i/>
    </w:rPr>
  </w:style>
  <w:style w:type="paragraph" w:styleId="769">
    <w:name w:val="Header"/>
    <w:basedOn w:val="919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>
    <w:name w:val="Header Char"/>
    <w:link w:val="769"/>
    <w:uiPriority w:val="99"/>
  </w:style>
  <w:style w:type="paragraph" w:styleId="771">
    <w:name w:val="Footer"/>
    <w:basedOn w:val="919"/>
    <w:link w:val="7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2">
    <w:name w:val="Footer Char"/>
    <w:link w:val="771"/>
    <w:uiPriority w:val="99"/>
  </w:style>
  <w:style w:type="paragraph" w:styleId="773">
    <w:name w:val="Caption"/>
    <w:basedOn w:val="919"/>
    <w:next w:val="9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4">
    <w:name w:val="Caption Char"/>
    <w:basedOn w:val="773"/>
    <w:link w:val="771"/>
    <w:uiPriority w:val="99"/>
  </w:style>
  <w:style w:type="table" w:styleId="77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1">
    <w:name w:val="Hyperlink"/>
    <w:uiPriority w:val="99"/>
    <w:unhideWhenUsed/>
    <w:rPr>
      <w:color w:val="0000ff" w:themeColor="hyperlink"/>
      <w:u w:val="single"/>
    </w:rPr>
  </w:style>
  <w:style w:type="paragraph" w:styleId="902">
    <w:name w:val="footnote text"/>
    <w:basedOn w:val="919"/>
    <w:link w:val="903"/>
    <w:uiPriority w:val="99"/>
    <w:semiHidden/>
    <w:unhideWhenUsed/>
    <w:pPr>
      <w:spacing w:after="40" w:line="240" w:lineRule="auto"/>
    </w:pPr>
    <w:rPr>
      <w:sz w:val="18"/>
    </w:rPr>
  </w:style>
  <w:style w:type="character" w:styleId="903">
    <w:name w:val="Footnote Text Char"/>
    <w:link w:val="902"/>
    <w:uiPriority w:val="99"/>
    <w:rPr>
      <w:sz w:val="18"/>
    </w:rPr>
  </w:style>
  <w:style w:type="character" w:styleId="904">
    <w:name w:val="footnote reference"/>
    <w:uiPriority w:val="99"/>
    <w:unhideWhenUsed/>
    <w:rPr>
      <w:vertAlign w:val="superscript"/>
    </w:rPr>
  </w:style>
  <w:style w:type="paragraph" w:styleId="905">
    <w:name w:val="endnote text"/>
    <w:basedOn w:val="919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uiPriority w:val="99"/>
    <w:semiHidden/>
    <w:unhideWhenUsed/>
    <w:rPr>
      <w:vertAlign w:val="superscript"/>
    </w:rPr>
  </w:style>
  <w:style w:type="paragraph" w:styleId="908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919" w:default="1">
    <w:name w:val="Normal"/>
    <w:next w:val="919"/>
    <w:link w:val="919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20">
    <w:name w:val="Заголовок 1"/>
    <w:basedOn w:val="919"/>
    <w:next w:val="919"/>
    <w:link w:val="946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21">
    <w:name w:val="Основной шрифт абзаца"/>
    <w:next w:val="921"/>
    <w:link w:val="919"/>
    <w:uiPriority w:val="1"/>
    <w:semiHidden/>
    <w:unhideWhenUsed/>
  </w:style>
  <w:style w:type="table" w:styleId="922">
    <w:name w:val="Обычная таблица"/>
    <w:next w:val="922"/>
    <w:link w:val="919"/>
    <w:uiPriority w:val="99"/>
    <w:semiHidden/>
    <w:unhideWhenUsed/>
    <w:qFormat/>
    <w:tblPr/>
  </w:style>
  <w:style w:type="numbering" w:styleId="923">
    <w:name w:val="Нет списка"/>
    <w:next w:val="923"/>
    <w:link w:val="919"/>
    <w:uiPriority w:val="99"/>
    <w:semiHidden/>
    <w:unhideWhenUsed/>
  </w:style>
  <w:style w:type="paragraph" w:styleId="924">
    <w:name w:val="ConsPlusNormal"/>
    <w:next w:val="924"/>
    <w:link w:val="989"/>
    <w:rPr>
      <w:sz w:val="28"/>
      <w:szCs w:val="28"/>
      <w:lang w:val="ru-RU" w:eastAsia="ru-RU" w:bidi="ar-SA"/>
    </w:rPr>
  </w:style>
  <w:style w:type="table" w:styleId="925">
    <w:name w:val="Сетка таблицы"/>
    <w:basedOn w:val="922"/>
    <w:next w:val="925"/>
    <w:link w:val="919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6">
    <w:name w:val="Абзац списка"/>
    <w:basedOn w:val="919"/>
    <w:next w:val="926"/>
    <w:link w:val="919"/>
    <w:uiPriority w:val="34"/>
    <w:qFormat/>
    <w:pPr>
      <w:contextualSpacing/>
      <w:ind w:left="720"/>
    </w:pPr>
  </w:style>
  <w:style w:type="table" w:styleId="927">
    <w:name w:val="Сетка таблицы1"/>
    <w:basedOn w:val="922"/>
    <w:next w:val="925"/>
    <w:link w:val="919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8">
    <w:name w:val="Текст выноски"/>
    <w:basedOn w:val="919"/>
    <w:next w:val="928"/>
    <w:link w:val="929"/>
    <w:uiPriority w:val="99"/>
    <w:semiHidden/>
    <w:unhideWhenUsed/>
    <w:rPr>
      <w:rFonts w:ascii="Tahoma" w:hAnsi="Tahoma"/>
      <w:sz w:val="16"/>
      <w:szCs w:val="16"/>
    </w:rPr>
  </w:style>
  <w:style w:type="character" w:styleId="929">
    <w:name w:val="Текст выноски Знак"/>
    <w:next w:val="929"/>
    <w:link w:val="928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30">
    <w:name w:val="Верхний колонтитул"/>
    <w:basedOn w:val="919"/>
    <w:next w:val="930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>
    <w:name w:val="Верхний колонтитул Знак"/>
    <w:next w:val="931"/>
    <w:link w:val="930"/>
    <w:uiPriority w:val="99"/>
    <w:rPr>
      <w:rFonts w:eastAsia="Calibri" w:cs="Times New Roman"/>
      <w:sz w:val="28"/>
      <w:szCs w:val="28"/>
    </w:rPr>
  </w:style>
  <w:style w:type="paragraph" w:styleId="932">
    <w:name w:val="Нижний колонтитул"/>
    <w:basedOn w:val="919"/>
    <w:next w:val="932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>
    <w:name w:val="Нижний колонтитул Знак"/>
    <w:next w:val="933"/>
    <w:link w:val="932"/>
    <w:uiPriority w:val="99"/>
    <w:rPr>
      <w:rFonts w:eastAsia="Calibri" w:cs="Times New Roman"/>
      <w:sz w:val="28"/>
      <w:szCs w:val="28"/>
    </w:rPr>
  </w:style>
  <w:style w:type="table" w:styleId="934">
    <w:name w:val="Сетка таблицы2"/>
    <w:basedOn w:val="922"/>
    <w:next w:val="925"/>
    <w:link w:val="919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35">
    <w:name w:val="ConsPlusTitlePage"/>
    <w:next w:val="935"/>
    <w:link w:val="919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36">
    <w:name w:val="ConsPlusTitle"/>
    <w:next w:val="936"/>
    <w:link w:val="919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37">
    <w:name w:val="ConsPlusNonformat"/>
    <w:next w:val="937"/>
    <w:link w:val="91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38">
    <w:name w:val="Основной текст с отступом"/>
    <w:basedOn w:val="919"/>
    <w:next w:val="938"/>
    <w:link w:val="939"/>
    <w:pPr>
      <w:ind w:firstLine="696"/>
    </w:pPr>
    <w:rPr>
      <w:rFonts w:eastAsia="Times New Roman"/>
      <w:szCs w:val="20"/>
      <w:lang w:eastAsia="ru-RU"/>
    </w:rPr>
  </w:style>
  <w:style w:type="character" w:styleId="939">
    <w:name w:val="Основной текст с отступом Знак"/>
    <w:next w:val="939"/>
    <w:link w:val="938"/>
    <w:rPr>
      <w:rFonts w:eastAsia="Times New Roman" w:cs="Times New Roman"/>
      <w:sz w:val="28"/>
      <w:szCs w:val="20"/>
      <w:lang w:eastAsia="ru-RU"/>
    </w:rPr>
  </w:style>
  <w:style w:type="character" w:styleId="940">
    <w:name w:val="apple-converted-space"/>
    <w:basedOn w:val="921"/>
    <w:next w:val="940"/>
    <w:link w:val="919"/>
  </w:style>
  <w:style w:type="paragraph" w:styleId="941">
    <w:name w:val="Основной текст с отступом 2"/>
    <w:basedOn w:val="919"/>
    <w:next w:val="941"/>
    <w:link w:val="942"/>
    <w:uiPriority w:val="99"/>
    <w:semiHidden/>
    <w:unhideWhenUsed/>
    <w:pPr>
      <w:ind w:left="283"/>
      <w:spacing w:after="120" w:line="480" w:lineRule="auto"/>
    </w:pPr>
  </w:style>
  <w:style w:type="character" w:styleId="942">
    <w:name w:val="Основной текст с отступом 2 Знак"/>
    <w:next w:val="942"/>
    <w:link w:val="941"/>
    <w:uiPriority w:val="99"/>
    <w:semiHidden/>
    <w:rPr>
      <w:rFonts w:eastAsia="Calibri" w:cs="Times New Roman"/>
      <w:sz w:val="28"/>
      <w:szCs w:val="28"/>
    </w:rPr>
  </w:style>
  <w:style w:type="paragraph" w:styleId="943">
    <w:name w:val="Стандартный HTML"/>
    <w:basedOn w:val="919"/>
    <w:next w:val="943"/>
    <w:link w:val="944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44">
    <w:name w:val="Стандартный HTML Знак"/>
    <w:next w:val="944"/>
    <w:link w:val="943"/>
    <w:rPr>
      <w:rFonts w:ascii="Courier New" w:hAnsi="Courier New" w:eastAsia="Times New Roman" w:cs="Courier New"/>
      <w:szCs w:val="20"/>
      <w:lang w:eastAsia="ru-RU"/>
    </w:rPr>
  </w:style>
  <w:style w:type="character" w:styleId="945">
    <w:name w:val="Гиперссылка"/>
    <w:next w:val="945"/>
    <w:link w:val="919"/>
    <w:rPr>
      <w:color w:val="0000ff"/>
      <w:u w:val="single"/>
    </w:rPr>
  </w:style>
  <w:style w:type="character" w:styleId="946">
    <w:name w:val="Заголовок 1 Знак"/>
    <w:next w:val="946"/>
    <w:link w:val="920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47">
    <w:name w:val="Сетка таблицы3"/>
    <w:basedOn w:val="922"/>
    <w:next w:val="947"/>
    <w:link w:val="919"/>
    <w:uiPriority w:val="59"/>
    <w:pPr>
      <w:jc w:val="left"/>
    </w:pPr>
    <w:rPr>
      <w:rFonts w:ascii="Calibri" w:hAnsi="Calibri"/>
      <w:sz w:val="22"/>
    </w:rPr>
    <w:tblPr/>
  </w:style>
  <w:style w:type="paragraph" w:styleId="948">
    <w:name w:val="Heading"/>
    <w:next w:val="948"/>
    <w:link w:val="919"/>
    <w:rPr>
      <w:rFonts w:ascii="Arial" w:hAnsi="Arial" w:eastAsia="Times New Roman"/>
      <w:b/>
      <w:sz w:val="22"/>
      <w:lang w:val="ru-RU" w:eastAsia="ru-RU" w:bidi="ar-SA"/>
    </w:rPr>
  </w:style>
  <w:style w:type="table" w:styleId="949">
    <w:name w:val="Сетка таблицы7"/>
    <w:basedOn w:val="922"/>
    <w:next w:val="925"/>
    <w:link w:val="919"/>
    <w:uiPriority w:val="59"/>
    <w:pPr>
      <w:jc w:val="left"/>
    </w:pPr>
    <w:rPr>
      <w:rFonts w:ascii="Calibri" w:hAnsi="Calibri"/>
      <w:sz w:val="22"/>
    </w:rPr>
    <w:tblPr/>
  </w:style>
  <w:style w:type="character" w:styleId="950">
    <w:name w:val="Знак сноски"/>
    <w:next w:val="950"/>
    <w:link w:val="919"/>
    <w:semiHidden/>
    <w:rPr>
      <w:vertAlign w:val="superscript"/>
    </w:rPr>
  </w:style>
  <w:style w:type="paragraph" w:styleId="951">
    <w:name w:val="Текст сноски"/>
    <w:basedOn w:val="919"/>
    <w:next w:val="951"/>
    <w:link w:val="952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52">
    <w:name w:val="Текст сноски Знак"/>
    <w:next w:val="952"/>
    <w:link w:val="951"/>
    <w:semiHidden/>
    <w:rPr>
      <w:rFonts w:eastAsia="Times New Roman" w:cs="Times New Roman"/>
      <w:szCs w:val="20"/>
      <w:lang w:eastAsia="ru-RU"/>
    </w:rPr>
  </w:style>
  <w:style w:type="paragraph" w:styleId="953">
    <w:name w:val="Preformat"/>
    <w:next w:val="953"/>
    <w:link w:val="919"/>
    <w:rPr>
      <w:rFonts w:ascii="Courier New" w:hAnsi="Courier New" w:eastAsia="Times New Roman" w:cs="Courier New"/>
      <w:lang w:val="ru-RU" w:eastAsia="ru-RU" w:bidi="ar-SA"/>
    </w:rPr>
  </w:style>
  <w:style w:type="table" w:styleId="954">
    <w:name w:val="Сетка таблицы20"/>
    <w:basedOn w:val="922"/>
    <w:next w:val="925"/>
    <w:link w:val="919"/>
    <w:pPr>
      <w:jc w:val="left"/>
    </w:pPr>
    <w:rPr>
      <w:rFonts w:eastAsia="Times New Roman" w:cs="Times New Roman"/>
      <w:szCs w:val="20"/>
      <w:lang w:eastAsia="ru-RU"/>
    </w:rPr>
    <w:tblPr/>
  </w:style>
  <w:style w:type="table" w:styleId="955">
    <w:name w:val="Сетка таблицы19"/>
    <w:basedOn w:val="922"/>
    <w:next w:val="925"/>
    <w:link w:val="919"/>
    <w:pPr>
      <w:jc w:val="left"/>
    </w:pPr>
    <w:rPr>
      <w:rFonts w:eastAsia="Times New Roman" w:cs="Times New Roman"/>
      <w:szCs w:val="20"/>
      <w:lang w:eastAsia="ru-RU"/>
    </w:rPr>
    <w:tblPr/>
  </w:style>
  <w:style w:type="table" w:styleId="956">
    <w:name w:val="Сетка таблицы18"/>
    <w:basedOn w:val="922"/>
    <w:next w:val="925"/>
    <w:link w:val="919"/>
    <w:pPr>
      <w:jc w:val="left"/>
    </w:pPr>
    <w:rPr>
      <w:rFonts w:eastAsia="Times New Roman" w:cs="Times New Roman"/>
      <w:szCs w:val="20"/>
      <w:lang w:eastAsia="ru-RU"/>
    </w:rPr>
    <w:tblPr/>
  </w:style>
  <w:style w:type="table" w:styleId="957">
    <w:name w:val="Сетка таблицы17"/>
    <w:basedOn w:val="922"/>
    <w:next w:val="925"/>
    <w:link w:val="919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58">
    <w:name w:val="Font Style22"/>
    <w:next w:val="958"/>
    <w:link w:val="919"/>
    <w:uiPriority w:val="99"/>
    <w:rPr>
      <w:rFonts w:ascii="Times New Roman" w:hAnsi="Times New Roman" w:cs="Times New Roman"/>
      <w:sz w:val="26"/>
      <w:szCs w:val="26"/>
    </w:rPr>
  </w:style>
  <w:style w:type="paragraph" w:styleId="959">
    <w:name w:val="Style16"/>
    <w:basedOn w:val="919"/>
    <w:next w:val="959"/>
    <w:link w:val="919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0">
    <w:name w:val="Style10"/>
    <w:basedOn w:val="919"/>
    <w:next w:val="960"/>
    <w:link w:val="919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1">
    <w:name w:val="Style17"/>
    <w:basedOn w:val="919"/>
    <w:next w:val="961"/>
    <w:link w:val="919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62">
    <w:name w:val="Font Style180"/>
    <w:next w:val="962"/>
    <w:link w:val="919"/>
    <w:uiPriority w:val="99"/>
    <w:rPr>
      <w:rFonts w:ascii="Times New Roman" w:hAnsi="Times New Roman" w:cs="Times New Roman"/>
      <w:sz w:val="26"/>
      <w:szCs w:val="26"/>
    </w:rPr>
  </w:style>
  <w:style w:type="character" w:styleId="963">
    <w:name w:val="Font Style178"/>
    <w:next w:val="963"/>
    <w:link w:val="919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64">
    <w:name w:val="Style18"/>
    <w:basedOn w:val="919"/>
    <w:next w:val="964"/>
    <w:link w:val="919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5">
    <w:name w:val="Style6"/>
    <w:basedOn w:val="919"/>
    <w:next w:val="965"/>
    <w:link w:val="919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15"/>
    <w:basedOn w:val="919"/>
    <w:next w:val="966"/>
    <w:link w:val="919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7"/>
    <w:basedOn w:val="919"/>
    <w:next w:val="967"/>
    <w:link w:val="919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8">
    <w:name w:val="Style11"/>
    <w:basedOn w:val="919"/>
    <w:next w:val="968"/>
    <w:link w:val="919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69">
    <w:name w:val="Font Style183"/>
    <w:next w:val="969"/>
    <w:link w:val="919"/>
    <w:uiPriority w:val="99"/>
    <w:rPr>
      <w:rFonts w:ascii="Times New Roman" w:hAnsi="Times New Roman" w:cs="Times New Roman"/>
      <w:sz w:val="20"/>
      <w:szCs w:val="20"/>
    </w:rPr>
  </w:style>
  <w:style w:type="paragraph" w:styleId="970">
    <w:name w:val="Style20"/>
    <w:basedOn w:val="919"/>
    <w:next w:val="970"/>
    <w:link w:val="919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3"/>
    <w:basedOn w:val="919"/>
    <w:next w:val="971"/>
    <w:link w:val="919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38"/>
    <w:basedOn w:val="919"/>
    <w:next w:val="972"/>
    <w:link w:val="919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73">
    <w:name w:val="Font Style179"/>
    <w:next w:val="973"/>
    <w:link w:val="919"/>
    <w:uiPriority w:val="99"/>
    <w:rPr>
      <w:rFonts w:ascii="Times New Roman" w:hAnsi="Times New Roman" w:cs="Times New Roman"/>
      <w:sz w:val="22"/>
      <w:szCs w:val="22"/>
    </w:rPr>
  </w:style>
  <w:style w:type="paragraph" w:styleId="974">
    <w:name w:val="Style5"/>
    <w:basedOn w:val="919"/>
    <w:next w:val="974"/>
    <w:link w:val="919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75">
    <w:name w:val="Style13"/>
    <w:basedOn w:val="919"/>
    <w:next w:val="975"/>
    <w:link w:val="919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6">
    <w:name w:val="Style22"/>
    <w:basedOn w:val="919"/>
    <w:next w:val="976"/>
    <w:link w:val="919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7">
    <w:name w:val="Style32"/>
    <w:basedOn w:val="919"/>
    <w:next w:val="977"/>
    <w:link w:val="919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8">
    <w:name w:val="Style36"/>
    <w:basedOn w:val="919"/>
    <w:next w:val="978"/>
    <w:link w:val="919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9">
    <w:name w:val="Style37"/>
    <w:basedOn w:val="919"/>
    <w:next w:val="979"/>
    <w:link w:val="919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0">
    <w:name w:val="Style44"/>
    <w:basedOn w:val="919"/>
    <w:next w:val="980"/>
    <w:link w:val="919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1">
    <w:name w:val="Style34"/>
    <w:basedOn w:val="919"/>
    <w:next w:val="981"/>
    <w:link w:val="919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2">
    <w:name w:val="Style41"/>
    <w:basedOn w:val="919"/>
    <w:next w:val="982"/>
    <w:link w:val="919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3">
    <w:name w:val="Style50"/>
    <w:basedOn w:val="919"/>
    <w:next w:val="983"/>
    <w:link w:val="919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84">
    <w:name w:val="Style66"/>
    <w:basedOn w:val="919"/>
    <w:next w:val="984"/>
    <w:link w:val="919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5">
    <w:name w:val="Style39"/>
    <w:basedOn w:val="919"/>
    <w:next w:val="985"/>
    <w:link w:val="919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6">
    <w:name w:val="Style43"/>
    <w:basedOn w:val="919"/>
    <w:next w:val="986"/>
    <w:link w:val="919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87">
    <w:name w:val="Font Style218"/>
    <w:next w:val="987"/>
    <w:link w:val="919"/>
    <w:uiPriority w:val="99"/>
    <w:rPr>
      <w:rFonts w:ascii="Times New Roman" w:hAnsi="Times New Roman" w:cs="Times New Roman"/>
      <w:sz w:val="18"/>
      <w:szCs w:val="18"/>
    </w:rPr>
  </w:style>
  <w:style w:type="character" w:styleId="988">
    <w:name w:val="Font Style181"/>
    <w:next w:val="988"/>
    <w:link w:val="919"/>
    <w:uiPriority w:val="99"/>
    <w:rPr>
      <w:rFonts w:ascii="Times New Roman" w:hAnsi="Times New Roman" w:cs="Times New Roman"/>
      <w:sz w:val="16"/>
      <w:szCs w:val="16"/>
    </w:rPr>
  </w:style>
  <w:style w:type="character" w:styleId="989">
    <w:name w:val="ConsPlusNormal Знак"/>
    <w:next w:val="989"/>
    <w:link w:val="924"/>
    <w:rPr>
      <w:sz w:val="28"/>
      <w:szCs w:val="28"/>
      <w:lang w:val="ru-RU" w:eastAsia="ru-RU" w:bidi="ar-SA"/>
    </w:rPr>
  </w:style>
  <w:style w:type="paragraph" w:styleId="990">
    <w:name w:val="Style8"/>
    <w:basedOn w:val="919"/>
    <w:next w:val="990"/>
    <w:link w:val="919"/>
    <w:uiPriority w:val="99"/>
    <w:pPr>
      <w:ind w:firstLine="698"/>
      <w:spacing w:line="353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1">
    <w:name w:val="Standard"/>
    <w:next w:val="991"/>
    <w:link w:val="919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character" w:styleId="992" w:default="1">
    <w:name w:val="Default Paragraph Font"/>
    <w:uiPriority w:val="1"/>
    <w:semiHidden/>
    <w:unhideWhenUsed/>
  </w:style>
  <w:style w:type="numbering" w:styleId="993" w:default="1">
    <w:name w:val="No List"/>
    <w:uiPriority w:val="99"/>
    <w:semiHidden/>
    <w:unhideWhenUsed/>
  </w:style>
  <w:style w:type="table" w:styleId="9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48</cp:revision>
  <dcterms:created xsi:type="dcterms:W3CDTF">2022-08-25T11:01:00Z</dcterms:created>
  <dcterms:modified xsi:type="dcterms:W3CDTF">2025-08-08T06:29:38Z</dcterms:modified>
  <cp:version>1048576</cp:version>
</cp:coreProperties>
</file>